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37B2" w:rsidRPr="004337B2" w:rsidRDefault="00DF3B79" w:rsidP="004337B2">
      <w:pPr>
        <w:pStyle w:val="Titre"/>
        <w:rPr>
          <w:rFonts w:eastAsia="Calibri"/>
        </w:rPr>
      </w:pPr>
      <w:r w:rsidRPr="00DF3B79">
        <w:rPr>
          <w:rFonts w:eastAsia="Calibri"/>
        </w:rPr>
        <w:t xml:space="preserve"> </w:t>
      </w:r>
      <w:r w:rsidR="004337B2" w:rsidRPr="004337B2">
        <w:rPr>
          <w:rFonts w:eastAsia="Calibri"/>
        </w:rPr>
        <w:t>Py</w:t>
      </w:r>
      <w:r w:rsidR="004337B2">
        <w:rPr>
          <w:rFonts w:eastAsia="Calibri"/>
        </w:rPr>
        <w:t>é</w:t>
      </w:r>
      <w:r w:rsidR="004337B2" w:rsidRPr="004337B2">
        <w:rPr>
          <w:rFonts w:eastAsia="Calibri"/>
        </w:rPr>
        <w:t>lon</w:t>
      </w:r>
      <w:r w:rsidR="004337B2">
        <w:rPr>
          <w:rFonts w:eastAsia="Calibri"/>
        </w:rPr>
        <w:t>é</w:t>
      </w:r>
      <w:r w:rsidR="004337B2" w:rsidRPr="004337B2">
        <w:rPr>
          <w:rFonts w:eastAsia="Calibri"/>
        </w:rPr>
        <w:t>phrite aigu</w:t>
      </w:r>
      <w:r w:rsidR="004337B2">
        <w:rPr>
          <w:rFonts w:eastAsia="Calibri"/>
        </w:rPr>
        <w:t>ë</w:t>
      </w:r>
    </w:p>
    <w:p w:rsidR="004337B2" w:rsidRPr="004337B2" w:rsidRDefault="004337B2" w:rsidP="004337B2">
      <w:pPr>
        <w:pStyle w:val="Titre1"/>
        <w:rPr>
          <w:rFonts w:eastAsia="Calibri"/>
        </w:rPr>
      </w:pPr>
      <w:r w:rsidRPr="004337B2">
        <w:rPr>
          <w:rFonts w:eastAsia="Calibri"/>
        </w:rPr>
        <w:t>D</w:t>
      </w:r>
      <w:r>
        <w:rPr>
          <w:rFonts w:eastAsia="Calibri"/>
        </w:rPr>
        <w:t>é</w:t>
      </w:r>
      <w:r w:rsidRPr="004337B2">
        <w:rPr>
          <w:rFonts w:eastAsia="Calibri"/>
        </w:rPr>
        <w:t xml:space="preserve">finition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Infection bactérienne aigue du parenchyme rénal et des voies urinaires hautes </w:t>
      </w:r>
    </w:p>
    <w:p w:rsidR="004337B2" w:rsidRPr="004337B2" w:rsidRDefault="004337B2" w:rsidP="004337B2">
      <w:pPr>
        <w:pStyle w:val="Titre1"/>
        <w:rPr>
          <w:rFonts w:eastAsia="Calibri"/>
        </w:rPr>
      </w:pPr>
      <w:r w:rsidRPr="004337B2">
        <w:rPr>
          <w:rFonts w:eastAsia="Calibri"/>
        </w:rPr>
        <w:t>Epid</w:t>
      </w:r>
      <w:r>
        <w:rPr>
          <w:rFonts w:eastAsia="Calibri"/>
        </w:rPr>
        <w:t>é</w:t>
      </w:r>
      <w:r w:rsidRPr="004337B2">
        <w:rPr>
          <w:rFonts w:eastAsia="Calibri"/>
        </w:rPr>
        <w:t xml:space="preserve">miologie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>Femme jeune (20 – 40 ans)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250000 cas/an en France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Infection ascendante fréquente </w:t>
      </w:r>
    </w:p>
    <w:p w:rsidR="004337B2" w:rsidRPr="004337B2" w:rsidRDefault="004337B2" w:rsidP="004337B2">
      <w:pPr>
        <w:pStyle w:val="Titre1"/>
        <w:rPr>
          <w:rFonts w:eastAsia="Calibri"/>
        </w:rPr>
      </w:pPr>
      <w:r w:rsidRPr="004337B2">
        <w:rPr>
          <w:rFonts w:eastAsia="Calibri"/>
        </w:rPr>
        <w:t xml:space="preserve">Physiopathologie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Voie ascendante : colonisation urétrale jusqu’au rein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Voie hématogène : rare </w:t>
      </w:r>
    </w:p>
    <w:p w:rsidR="004337B2" w:rsidRPr="004337B2" w:rsidRDefault="004337B2" w:rsidP="004337B2">
      <w:pPr>
        <w:pStyle w:val="Titre1"/>
        <w:rPr>
          <w:rFonts w:eastAsia="Calibri"/>
        </w:rPr>
      </w:pPr>
      <w:r w:rsidRPr="004337B2">
        <w:rPr>
          <w:rFonts w:eastAsia="Calibri"/>
        </w:rPr>
        <w:t>Germes fr</w:t>
      </w:r>
      <w:r>
        <w:rPr>
          <w:rFonts w:eastAsia="Calibri"/>
        </w:rPr>
        <w:t>é</w:t>
      </w:r>
      <w:r w:rsidRPr="004337B2">
        <w:rPr>
          <w:rFonts w:eastAsia="Calibri"/>
        </w:rPr>
        <w:t xml:space="preserve">quents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Escherichia coli (sup à 75%)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Proteus, Klebsiella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Entérocoques </w:t>
      </w:r>
    </w:p>
    <w:p w:rsidR="004337B2" w:rsidRPr="004337B2" w:rsidRDefault="004337B2" w:rsidP="004337B2">
      <w:pPr>
        <w:pStyle w:val="Titre1"/>
        <w:rPr>
          <w:rFonts w:eastAsia="Calibri"/>
        </w:rPr>
      </w:pPr>
      <w:r w:rsidRPr="004337B2">
        <w:rPr>
          <w:rFonts w:eastAsia="Calibri"/>
        </w:rPr>
        <w:t xml:space="preserve">Facteurs favorisants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Malformation des voies urinaires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Grossesse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Diabète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>Obstruction (lithiase)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>RVU</w:t>
      </w:r>
    </w:p>
    <w:p w:rsidR="004337B2" w:rsidRPr="004337B2" w:rsidRDefault="004337B2" w:rsidP="004337B2">
      <w:pPr>
        <w:pStyle w:val="Titre1"/>
        <w:rPr>
          <w:rFonts w:eastAsia="Calibri"/>
        </w:rPr>
      </w:pPr>
      <w:r w:rsidRPr="004337B2">
        <w:rPr>
          <w:rFonts w:eastAsia="Calibri"/>
        </w:rPr>
        <w:t xml:space="preserve">Tableau clinique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Fièvre sup à 38,5°C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Douleur lombaire unilatérale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Frissons, vomissements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Troubles urinaires </w:t>
      </w:r>
    </w:p>
    <w:p w:rsidR="004337B2" w:rsidRPr="004337B2" w:rsidRDefault="004337B2" w:rsidP="004337B2">
      <w:pPr>
        <w:pStyle w:val="Titre1"/>
        <w:rPr>
          <w:rFonts w:eastAsia="Calibri"/>
        </w:rPr>
      </w:pPr>
      <w:r w:rsidRPr="004337B2">
        <w:rPr>
          <w:rFonts w:eastAsia="Calibri"/>
        </w:rPr>
        <w:t xml:space="preserve">Examen clinique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>Fièvre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>Signe de Giordano +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Signes de sepsis possibles </w:t>
      </w:r>
    </w:p>
    <w:p w:rsidR="004337B2" w:rsidRPr="004337B2" w:rsidRDefault="004337B2" w:rsidP="004337B2">
      <w:pPr>
        <w:pStyle w:val="Titre1"/>
        <w:rPr>
          <w:rFonts w:eastAsia="Calibri"/>
        </w:rPr>
      </w:pPr>
      <w:r w:rsidRPr="004337B2">
        <w:rPr>
          <w:rFonts w:eastAsia="Calibri"/>
        </w:rPr>
        <w:lastRenderedPageBreak/>
        <w:t>Examens compl</w:t>
      </w:r>
      <w:r>
        <w:rPr>
          <w:rFonts w:eastAsia="Calibri"/>
        </w:rPr>
        <w:t>é</w:t>
      </w:r>
      <w:r w:rsidRPr="004337B2">
        <w:rPr>
          <w:rFonts w:eastAsia="Calibri"/>
        </w:rPr>
        <w:t xml:space="preserve">mentaires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BU : nitrite, leucocytes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ECBU + Antibiogramme : leucocyturie, bactériurie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Bilan : NFS, CRP, créatinine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>Echo rénale (à la recherche d’images malformatives, dédifférenciation cortico-sinusale)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Scanner si doute </w:t>
      </w:r>
    </w:p>
    <w:p w:rsidR="004337B2" w:rsidRPr="004337B2" w:rsidRDefault="004337B2" w:rsidP="004337B2">
      <w:pPr>
        <w:pStyle w:val="Titre1"/>
        <w:rPr>
          <w:rFonts w:eastAsia="Calibri"/>
        </w:rPr>
      </w:pPr>
      <w:r w:rsidRPr="004337B2">
        <w:rPr>
          <w:rFonts w:eastAsia="Calibri"/>
        </w:rPr>
        <w:t xml:space="preserve">Formes cliniques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>Non compliquée : femme jeune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Compliquée : grossesse, diabète, homme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>Obstructive, emphysémateuse</w:t>
      </w:r>
    </w:p>
    <w:p w:rsidR="004337B2" w:rsidRPr="004337B2" w:rsidRDefault="004337B2" w:rsidP="004337B2">
      <w:pPr>
        <w:pStyle w:val="Titre1"/>
        <w:rPr>
          <w:rFonts w:eastAsia="Calibri"/>
        </w:rPr>
      </w:pPr>
      <w:r w:rsidRPr="004337B2">
        <w:rPr>
          <w:rFonts w:eastAsia="Calibri"/>
        </w:rPr>
        <w:t xml:space="preserve">Traitement </w:t>
      </w:r>
    </w:p>
    <w:p w:rsidR="004337B2" w:rsidRPr="004337B2" w:rsidRDefault="004337B2" w:rsidP="004337B2">
      <w:pPr>
        <w:pStyle w:val="Titre2"/>
        <w:rPr>
          <w:rFonts w:eastAsia="Calibri"/>
        </w:rPr>
      </w:pPr>
      <w:r w:rsidRPr="004337B2">
        <w:rPr>
          <w:rFonts w:eastAsia="Calibri"/>
        </w:rPr>
        <w:t xml:space="preserve">Buts :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Eradiquer les germes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Soulager le patient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>Eviter les complications (IR, sepsis)</w:t>
      </w:r>
    </w:p>
    <w:p w:rsidR="004337B2" w:rsidRPr="004337B2" w:rsidRDefault="004337B2" w:rsidP="004337B2">
      <w:pPr>
        <w:pStyle w:val="Titre2"/>
        <w:rPr>
          <w:rFonts w:eastAsia="Calibri"/>
        </w:rPr>
      </w:pPr>
      <w:r w:rsidRPr="004337B2">
        <w:rPr>
          <w:rFonts w:eastAsia="Calibri"/>
        </w:rPr>
        <w:t xml:space="preserve">Moyens : </w:t>
      </w:r>
    </w:p>
    <w:p w:rsidR="004337B2" w:rsidRPr="004337B2" w:rsidRDefault="004337B2" w:rsidP="004337B2">
      <w:pPr>
        <w:pStyle w:val="Titre3"/>
        <w:rPr>
          <w:rFonts w:eastAsia="Calibri"/>
        </w:rPr>
      </w:pPr>
      <w:r w:rsidRPr="004337B2">
        <w:rPr>
          <w:rFonts w:eastAsia="Calibri"/>
        </w:rPr>
        <w:t xml:space="preserve">Non médicamenteux :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MHD </w:t>
      </w:r>
    </w:p>
    <w:p w:rsidR="004337B2" w:rsidRPr="004337B2" w:rsidRDefault="004337B2" w:rsidP="004337B2">
      <w:pPr>
        <w:pStyle w:val="Titre3"/>
        <w:rPr>
          <w:rFonts w:eastAsia="Calibri"/>
        </w:rPr>
      </w:pPr>
      <w:r w:rsidRPr="004337B2">
        <w:rPr>
          <w:rFonts w:eastAsia="Calibri"/>
        </w:rPr>
        <w:t xml:space="preserve">Médicamenteux :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>ATB empirique : C3G IV</w:t>
      </w:r>
      <w:r>
        <w:rPr>
          <w:rStyle w:val="Appelnotedebasdep"/>
          <w:rFonts w:eastAsia="Calibri" w:cs="Times New Roman"/>
        </w:rPr>
        <w:footnoteReference w:id="1"/>
      </w:r>
      <w:r w:rsidRPr="004337B2">
        <w:rPr>
          <w:rFonts w:eastAsia="Calibri" w:cs="Times New Roman"/>
        </w:rPr>
        <w:t xml:space="preserve"> ou Fluoroquinolone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Adaptation à l’antibiogramme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Durée : 10 à 14 jours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>Hospitalisation si grave</w:t>
      </w:r>
      <w:r>
        <w:rPr>
          <w:rStyle w:val="Appelnotedebasdep"/>
          <w:rFonts w:eastAsia="Calibri" w:cs="Times New Roman"/>
        </w:rPr>
        <w:footnoteReference w:id="2"/>
      </w:r>
      <w:r w:rsidRPr="004337B2">
        <w:rPr>
          <w:rFonts w:eastAsia="Calibri" w:cs="Times New Roman"/>
        </w:rPr>
        <w:t xml:space="preserve"> </w:t>
      </w:r>
    </w:p>
    <w:p w:rsidR="004337B2" w:rsidRPr="004337B2" w:rsidRDefault="004337B2" w:rsidP="004337B2">
      <w:pPr>
        <w:pStyle w:val="Titre2"/>
        <w:rPr>
          <w:rFonts w:eastAsia="Calibri"/>
        </w:rPr>
      </w:pPr>
      <w:r w:rsidRPr="004337B2">
        <w:rPr>
          <w:rFonts w:eastAsia="Calibri"/>
        </w:rPr>
        <w:t xml:space="preserve">Prévention :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T3 des IU basses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Suivi post-infectieux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bookmarkStart w:id="0" w:name="_GoBack"/>
      <w:bookmarkEnd w:id="0"/>
      <w:r w:rsidRPr="004337B2">
        <w:rPr>
          <w:rFonts w:eastAsia="Calibri" w:cs="Times New Roman"/>
        </w:rPr>
        <w:t xml:space="preserve">Correction des facteurs favorisants </w:t>
      </w:r>
    </w:p>
    <w:p w:rsidR="004337B2" w:rsidRPr="004337B2" w:rsidRDefault="004337B2" w:rsidP="004337B2">
      <w:pPr>
        <w:pStyle w:val="Titre1"/>
        <w:rPr>
          <w:rFonts w:eastAsia="Calibri"/>
        </w:rPr>
      </w:pPr>
      <w:r w:rsidRPr="004337B2">
        <w:rPr>
          <w:rFonts w:eastAsia="Calibri"/>
        </w:rPr>
        <w:t xml:space="preserve">Complications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Abcès rénal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proofErr w:type="spellStart"/>
      <w:r w:rsidRPr="004337B2">
        <w:rPr>
          <w:rFonts w:eastAsia="Calibri" w:cs="Times New Roman"/>
        </w:rPr>
        <w:t>Urosepsis</w:t>
      </w:r>
      <w:proofErr w:type="spellEnd"/>
      <w:r w:rsidRPr="004337B2">
        <w:rPr>
          <w:rFonts w:eastAsia="Calibri" w:cs="Times New Roman"/>
        </w:rPr>
        <w:t xml:space="preserve">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Choc septique </w:t>
      </w:r>
    </w:p>
    <w:p w:rsidR="004337B2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IRA </w:t>
      </w:r>
    </w:p>
    <w:p w:rsidR="00872EA0" w:rsidRPr="004337B2" w:rsidRDefault="004337B2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4337B2">
        <w:rPr>
          <w:rFonts w:eastAsia="Calibri" w:cs="Times New Roman"/>
        </w:rPr>
        <w:t xml:space="preserve">Récidive </w:t>
      </w:r>
    </w:p>
    <w:sectPr w:rsidR="00872EA0" w:rsidRPr="004337B2" w:rsidSect="00ED58FF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217E" w:rsidRDefault="00B8217E" w:rsidP="00ED58FF">
      <w:pPr>
        <w:spacing w:line="240" w:lineRule="auto"/>
      </w:pPr>
      <w:r>
        <w:separator/>
      </w:r>
    </w:p>
  </w:endnote>
  <w:endnote w:type="continuationSeparator" w:id="0">
    <w:p w:rsidR="00B8217E" w:rsidRDefault="00B8217E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217E" w:rsidRDefault="00B8217E" w:rsidP="00ED58FF">
      <w:pPr>
        <w:spacing w:line="240" w:lineRule="auto"/>
      </w:pPr>
      <w:r>
        <w:separator/>
      </w:r>
    </w:p>
  </w:footnote>
  <w:footnote w:type="continuationSeparator" w:id="0">
    <w:p w:rsidR="00B8217E" w:rsidRDefault="00B8217E" w:rsidP="00ED58FF">
      <w:pPr>
        <w:spacing w:line="240" w:lineRule="auto"/>
      </w:pPr>
      <w:r>
        <w:continuationSeparator/>
      </w:r>
    </w:p>
  </w:footnote>
  <w:footnote w:id="1">
    <w:p w:rsidR="004337B2" w:rsidRDefault="004337B2">
      <w:pPr>
        <w:pStyle w:val="Notedebasdepage"/>
      </w:pPr>
      <w:r>
        <w:rPr>
          <w:rStyle w:val="Appelnotedebasdep"/>
        </w:rPr>
        <w:footnoteRef/>
      </w:r>
      <w:r>
        <w:t xml:space="preserve"> A relayer PO jusqu’à 2 semaines d’ATB</w:t>
      </w:r>
    </w:p>
  </w:footnote>
  <w:footnote w:id="2">
    <w:p w:rsidR="004337B2" w:rsidRDefault="004337B2">
      <w:pPr>
        <w:pStyle w:val="Notedebasdepage"/>
      </w:pPr>
      <w:r>
        <w:rPr>
          <w:rStyle w:val="Appelnotedebasdep"/>
        </w:rPr>
        <w:footnoteRef/>
      </w:r>
      <w:r>
        <w:t xml:space="preserve"> Homme, femme enceinte, présence de valvulopathie, présence stent cardiaque, 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Default="00811FA3" w:rsidP="00ED58FF">
    <w:pPr>
      <w:pStyle w:val="En-tte"/>
      <w:jc w:val="right"/>
      <w:rPr>
        <w:b/>
        <w:noProof/>
        <w:color w:val="808080" w:themeColor="background1" w:themeShade="80"/>
      </w:rPr>
    </w:pPr>
    <w:r>
      <w:rPr>
        <w:b/>
        <w:noProof/>
        <w:color w:val="808080" w:themeColor="background1" w:themeShade="80"/>
      </w:rPr>
      <w:t xml:space="preserve">Néphro-urologie du 24 Juillet </w:t>
    </w:r>
    <w:r w:rsidR="00696BBE" w:rsidRPr="00696BBE">
      <w:rPr>
        <w:b/>
        <w:noProof/>
        <w:color w:val="808080" w:themeColor="background1" w:themeShade="80"/>
      </w:rPr>
      <w:t>2025</w:t>
    </w:r>
  </w:p>
  <w:p w:rsidR="00DF3B79" w:rsidRPr="00696BBE" w:rsidRDefault="00DF3B79" w:rsidP="00ED58FF">
    <w:pPr>
      <w:pStyle w:val="En-tte"/>
      <w:jc w:val="right"/>
      <w:rPr>
        <w:b/>
        <w:color w:val="808080" w:themeColor="background1" w:themeShade="80"/>
      </w:rPr>
    </w:pPr>
    <w:r>
      <w:rPr>
        <w:b/>
        <w:color w:val="808080" w:themeColor="background1" w:themeShade="80"/>
      </w:rPr>
      <w:t>RAKOTONDRASOA Hasina Daniel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1240C63"/>
    <w:multiLevelType w:val="hybridMultilevel"/>
    <w:tmpl w:val="CD98E142"/>
    <w:lvl w:ilvl="0" w:tplc="8E0AB23C">
      <w:start w:val="1"/>
      <w:numFmt w:val="upperRoman"/>
      <w:lvlText w:val="%1.1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651015"/>
    <w:multiLevelType w:val="hybridMultilevel"/>
    <w:tmpl w:val="887A20E2"/>
    <w:lvl w:ilvl="0" w:tplc="41DCFE9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 w:numId="3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337B2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7F1236"/>
    <w:rsid w:val="00811FA3"/>
    <w:rsid w:val="00872EA0"/>
    <w:rsid w:val="008809FC"/>
    <w:rsid w:val="008C5E2B"/>
    <w:rsid w:val="008D17DE"/>
    <w:rsid w:val="008D5B42"/>
    <w:rsid w:val="008F1FDE"/>
    <w:rsid w:val="00926B96"/>
    <w:rsid w:val="00A20C5D"/>
    <w:rsid w:val="00AB4EC0"/>
    <w:rsid w:val="00AC0D72"/>
    <w:rsid w:val="00AD761F"/>
    <w:rsid w:val="00B8217E"/>
    <w:rsid w:val="00BB4BA5"/>
    <w:rsid w:val="00C36BEA"/>
    <w:rsid w:val="00CA01E4"/>
    <w:rsid w:val="00CF465D"/>
    <w:rsid w:val="00D1488E"/>
    <w:rsid w:val="00D20850"/>
    <w:rsid w:val="00D6626F"/>
    <w:rsid w:val="00DB65BA"/>
    <w:rsid w:val="00DD6082"/>
    <w:rsid w:val="00DE1FE6"/>
    <w:rsid w:val="00DE57C6"/>
    <w:rsid w:val="00DF3A36"/>
    <w:rsid w:val="00DF3B79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2364F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1FA3"/>
    <w:rPr>
      <w:rFonts w:ascii="Times New Roman" w:hAnsi="Times New Roman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11FA3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11FA3"/>
    <w:rPr>
      <w:rFonts w:ascii="Times New Roman" w:hAnsi="Times New Roman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811FA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648B82-485E-401B-BF86-C6ACE6351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16</vt:i4>
      </vt:variant>
    </vt:vector>
  </HeadingPairs>
  <TitlesOfParts>
    <vt:vector size="17" baseType="lpstr">
      <vt:lpstr/>
      <vt:lpstr>Définition </vt:lpstr>
      <vt:lpstr>Epidémiologie </vt:lpstr>
      <vt:lpstr>Physiopathologie </vt:lpstr>
      <vt:lpstr>Germes fréquents </vt:lpstr>
      <vt:lpstr>Facteurs favorisants </vt:lpstr>
      <vt:lpstr>Tableau clinique </vt:lpstr>
      <vt:lpstr>Examen clinique </vt:lpstr>
      <vt:lpstr>Examens complémentaires </vt:lpstr>
      <vt:lpstr>Formes cliniques </vt:lpstr>
      <vt:lpstr>Traitement </vt:lpstr>
      <vt:lpstr>    Buts : </vt:lpstr>
      <vt:lpstr>    Moyens : </vt:lpstr>
      <vt:lpstr>        Non médicamenteux : </vt:lpstr>
      <vt:lpstr>        Médicamenteux : </vt:lpstr>
      <vt:lpstr>    Prévention : </vt:lpstr>
      <vt:lpstr>Complications </vt:lpstr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2</cp:revision>
  <dcterms:created xsi:type="dcterms:W3CDTF">2025-07-27T20:44:00Z</dcterms:created>
  <dcterms:modified xsi:type="dcterms:W3CDTF">2025-07-27T20:44:00Z</dcterms:modified>
</cp:coreProperties>
</file>