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bookmarkStart w:id="0" w:name="_GoBack"/>
      <w:bookmarkEnd w:id="0"/>
      <w:r>
        <w:t>Traumatisme urétéral</w:t>
      </w:r>
    </w:p>
    <w:p>
      <w:pPr>
        <w:pStyle w:val="style1"/>
        <w:rPr/>
      </w:pPr>
      <w:r>
        <w:t xml:space="preserve">Mécanismes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Iatrogène : chirurgie pelvienne+++, urétéroscopie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Accident de la circulation rare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Plaie par arme à feu (lésion de brûlure)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Plaie par arme blanche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Diagnostic 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Signe clinique non spécifique ou absent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Douleur au niveau flanc, pelvienne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Accumulation des urinaires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Phlegmon urineux ou fistule urinaire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Épanchement péritonéal (uropéritoine)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UIV :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Fuite de contraste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Dilatation sus-sténosique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Rein muet en amont</w:t>
      </w:r>
    </w:p>
    <w:p>
      <w:pPr>
        <w:pStyle w:val="style1"/>
        <w:rPr/>
      </w:pPr>
      <w:r>
        <w:t xml:space="preserve">Traitement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Endoscopique : cicatrisation sur sonde tutrice (en cas de sténose+++)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Chirurgie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Urétérorraphie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Réimplantation urétéro-vésicale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Interposition intestinale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Anastomose urétéro-urétérale croisée 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600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b/>
                                <w:color w:val="808080"/>
                              </w:rPr>
                            </w:pPr>
                            <w:r>
                              <w:rPr>
                                <w:b/>
                                <w:color w:val="808080"/>
                                <w:lang w:val="fr-FR"/>
                              </w:rPr>
                              <w:t>Falitiana RAFANOMEZANTSOA</w:t>
                            </w:r>
                          </w:p>
                          <w:p>
                            <w:pPr>
                              <w:pStyle w:val="style0"/>
                              <w:jc w:val="right"/>
                              <w:rPr>
                                <w:b/>
                                <w:color w:val="808080"/>
                              </w:rPr>
                            </w:pP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600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b/>
                          <w:color w:val="808080"/>
                        </w:rPr>
                      </w:pPr>
                      <w:r>
                        <w:rPr>
                          <w:b/>
                          <w:color w:val="808080"/>
                          <w:lang w:val="fr-FR"/>
                        </w:rPr>
                        <w:t>Falitiana RAFANOMEZANTSOA</w:t>
                      </w:r>
                    </w:p>
                    <w:p>
                      <w:pPr>
                        <w:pStyle w:val="style0"/>
                        <w:jc w:val="right"/>
                        <w:rPr>
                          <w:b/>
                          <w:color w:val="808080"/>
                        </w:rPr>
                      </w:pP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Néphro-urologie du 02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C24E55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="Cambria" w:cs="宋体" w:eastAsia="宋体" w:hAnsi="Cambria"/>
      <w:b/>
      <w:smallCaps/>
      <w:color w:val="800000"/>
      <w:sz w:val="36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ascii="Cambria" w:cs="宋体" w:eastAsia="宋体" w:hAnsi="Cambria"/>
      <w:b/>
      <w:smallCaps/>
      <w:color w:val="008000"/>
      <w:sz w:val="32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ascii="Cambria" w:cs="宋体" w:eastAsia="宋体" w:hAnsi="Cambria"/>
      <w:b/>
      <w:color w:val="002060"/>
      <w:sz w:val="28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Cambria" w:cs="宋体" w:eastAsia="宋体" w:hAnsi="Cambria"/>
      <w:b/>
      <w:smallCaps/>
      <w:color w:val="800000"/>
      <w:sz w:val="36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Cambria" w:cs="宋体" w:eastAsia="宋体" w:hAnsi="Cambria"/>
      <w:b/>
      <w:smallCaps/>
      <w:color w:val="008000"/>
      <w:sz w:val="32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Cambria" w:cs="宋体" w:eastAsia="宋体" w:hAnsi="Cambria"/>
      <w:b/>
      <w:color w:val="002060"/>
      <w:sz w:val="28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56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56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Words>87</Words>
  <Pages>1</Pages>
  <Characters>613</Characters>
  <Application>WPS Office</Application>
  <DocSecurity>0</DocSecurity>
  <Paragraphs>32</Paragraphs>
  <ScaleCrop>false</ScaleCrop>
  <LinksUpToDate>false</LinksUpToDate>
  <CharactersWithSpaces>689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2025-07-02T11:31:16Z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20d2e01f7beb49c9baef7a1624f1b131</vt:lpwstr>
  </property>
</Properties>
</file>