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45BDC" w14:textId="77777777" w:rsidR="00BE1E4B" w:rsidRPr="00D33D10" w:rsidRDefault="00096F56" w:rsidP="00096F56">
      <w:pPr>
        <w:pStyle w:val="Titre1"/>
        <w:rPr>
          <w:rFonts w:cs="Times New Roman"/>
        </w:rPr>
      </w:pPr>
      <w:bookmarkStart w:id="0" w:name="_Toc194580579"/>
      <w:bookmarkStart w:id="1" w:name="_Toc194580733"/>
      <w:bookmarkStart w:id="2" w:name="_Toc197049977"/>
      <w:bookmarkStart w:id="3" w:name="_Toc199845158"/>
      <w:r w:rsidRPr="00D33D10">
        <w:rPr>
          <w:rFonts w:cs="Times New Roman"/>
        </w:rPr>
        <w:t>dematite atopique</w:t>
      </w:r>
      <w:bookmarkEnd w:id="0"/>
      <w:bookmarkEnd w:id="1"/>
      <w:bookmarkEnd w:id="2"/>
      <w:bookmarkEnd w:id="3"/>
    </w:p>
    <w:p w14:paraId="4164F059" w14:textId="77777777" w:rsidR="00096F56" w:rsidRPr="00D33D10" w:rsidRDefault="00096F56" w:rsidP="00096F56">
      <w:pPr>
        <w:pStyle w:val="Sous-titre"/>
        <w:rPr>
          <w:rFonts w:cs="Times New Roman"/>
        </w:rPr>
      </w:pPr>
      <w:bookmarkStart w:id="4" w:name="_Toc138945054"/>
      <w:r w:rsidRPr="00D33D10">
        <w:rPr>
          <w:rFonts w:cs="Times New Roman"/>
        </w:rPr>
        <w:t>Introduction</w:t>
      </w:r>
      <w:bookmarkEnd w:id="4"/>
      <w:r w:rsidRPr="00D33D10">
        <w:rPr>
          <w:rFonts w:cs="Times New Roman"/>
        </w:rPr>
        <w:t xml:space="preserve"> </w:t>
      </w:r>
    </w:p>
    <w:p w14:paraId="58654F9C" w14:textId="77777777" w:rsidR="00096F56" w:rsidRPr="00D33D10" w:rsidRDefault="00096F56" w:rsidP="00096F56">
      <w:pPr>
        <w:rPr>
          <w:rFonts w:cs="Times New Roman"/>
        </w:rPr>
      </w:pPr>
      <w:r w:rsidRPr="00D33D10">
        <w:rPr>
          <w:rFonts w:cs="Times New Roman"/>
        </w:rPr>
        <w:t xml:space="preserve">Définition </w:t>
      </w:r>
    </w:p>
    <w:p w14:paraId="41AC063D" w14:textId="77777777" w:rsidR="00096F56" w:rsidRPr="00D33D10" w:rsidRDefault="00096F56" w:rsidP="00096F5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Dermatite </w:t>
      </w:r>
      <w:proofErr w:type="spellStart"/>
      <w:r w:rsidRPr="00D33D10">
        <w:rPr>
          <w:rFonts w:cs="Times New Roman"/>
        </w:rPr>
        <w:t>atopique</w:t>
      </w:r>
      <w:proofErr w:type="spellEnd"/>
      <w:r w:rsidRPr="00D33D10">
        <w:rPr>
          <w:rFonts w:cs="Times New Roman"/>
        </w:rPr>
        <w:t xml:space="preserve"> ou eczéma </w:t>
      </w:r>
      <w:proofErr w:type="spellStart"/>
      <w:r w:rsidRPr="00D33D10">
        <w:rPr>
          <w:rFonts w:cs="Times New Roman"/>
        </w:rPr>
        <w:t>atopique</w:t>
      </w:r>
      <w:proofErr w:type="spellEnd"/>
      <w:r w:rsidRPr="00D33D10">
        <w:rPr>
          <w:rFonts w:cs="Times New Roman"/>
        </w:rPr>
        <w:t xml:space="preserve"> : manifestation inflammatoire cutanée chronique et/ou récidivantes associés à l’atopie </w:t>
      </w:r>
    </w:p>
    <w:p w14:paraId="7F782195" w14:textId="77777777" w:rsidR="00096F56" w:rsidRPr="00D33D10" w:rsidRDefault="00096F56" w:rsidP="00096F5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Atopie : prédisposition héréditaire du système immunitaire à privilégier des réactions d’hypersensibilité modérées par les IgE</w:t>
      </w:r>
    </w:p>
    <w:p w14:paraId="3EAD3FA6" w14:textId="77777777" w:rsidR="00096F56" w:rsidRPr="00D33D10" w:rsidRDefault="00096F56" w:rsidP="00096F56">
      <w:pPr>
        <w:rPr>
          <w:rFonts w:cs="Times New Roman"/>
        </w:rPr>
      </w:pPr>
      <w:r w:rsidRPr="00D33D10">
        <w:rPr>
          <w:rFonts w:cs="Times New Roman"/>
        </w:rPr>
        <w:t xml:space="preserve">Intérêts </w:t>
      </w:r>
    </w:p>
    <w:p w14:paraId="176F9A26" w14:textId="77777777" w:rsidR="00096F56" w:rsidRPr="00D33D10" w:rsidRDefault="00096F56" w:rsidP="00096F5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Prévalence : première grande cause d’eczéma </w:t>
      </w:r>
    </w:p>
    <w:p w14:paraId="2F796B4A" w14:textId="77777777" w:rsidR="00096F56" w:rsidRPr="00D33D10" w:rsidRDefault="00096F56" w:rsidP="00096F5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10-25% des enfants dans les études nord-européen </w:t>
      </w:r>
    </w:p>
    <w:p w14:paraId="6015B44C" w14:textId="77777777" w:rsidR="00096F56" w:rsidRPr="00D33D10" w:rsidRDefault="00096F56" w:rsidP="00096F5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1</w:t>
      </w:r>
      <w:r w:rsidRPr="00D33D10">
        <w:rPr>
          <w:rFonts w:cs="Times New Roman"/>
          <w:vertAlign w:val="superscript"/>
        </w:rPr>
        <w:t>ère</w:t>
      </w:r>
      <w:r w:rsidRPr="00D33D10">
        <w:rPr>
          <w:rFonts w:cs="Times New Roman"/>
        </w:rPr>
        <w:t xml:space="preserve"> motif de consultation en dermatologie pédiatrique </w:t>
      </w:r>
    </w:p>
    <w:p w14:paraId="3BB2AD36" w14:textId="77777777" w:rsidR="00096F56" w:rsidRPr="00D33D10" w:rsidRDefault="00096F56" w:rsidP="00096F5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Gravité : dermatite </w:t>
      </w:r>
      <w:proofErr w:type="spellStart"/>
      <w:r w:rsidRPr="00D33D10">
        <w:rPr>
          <w:rFonts w:cs="Times New Roman"/>
        </w:rPr>
        <w:t>atopique</w:t>
      </w:r>
      <w:proofErr w:type="spellEnd"/>
      <w:r w:rsidRPr="00D33D10">
        <w:rPr>
          <w:rFonts w:cs="Times New Roman"/>
        </w:rPr>
        <w:t xml:space="preserve"> impétiginisée (surinfecté) </w:t>
      </w:r>
    </w:p>
    <w:p w14:paraId="50ABD625" w14:textId="77777777" w:rsidR="00096F56" w:rsidRPr="00D33D10" w:rsidRDefault="00096F56" w:rsidP="00096F56">
      <w:pPr>
        <w:pStyle w:val="Titre2"/>
        <w:rPr>
          <w:rFonts w:cs="Times New Roman"/>
        </w:rPr>
      </w:pPr>
      <w:bookmarkStart w:id="5" w:name="_Toc138945055"/>
      <w:bookmarkStart w:id="6" w:name="_Toc194580580"/>
      <w:bookmarkStart w:id="7" w:name="_Toc194580734"/>
      <w:bookmarkStart w:id="8" w:name="_Toc197049978"/>
      <w:bookmarkStart w:id="9" w:name="_Toc199845159"/>
      <w:r w:rsidRPr="00D33D10">
        <w:rPr>
          <w:rFonts w:cs="Times New Roman"/>
        </w:rPr>
        <w:t>Signes</w:t>
      </w:r>
      <w:bookmarkEnd w:id="5"/>
      <w:bookmarkEnd w:id="6"/>
      <w:bookmarkEnd w:id="7"/>
      <w:bookmarkEnd w:id="8"/>
      <w:bookmarkEnd w:id="9"/>
      <w:r w:rsidRPr="00D33D10">
        <w:rPr>
          <w:rFonts w:cs="Times New Roman"/>
        </w:rPr>
        <w:t xml:space="preserve"> </w:t>
      </w:r>
    </w:p>
    <w:p w14:paraId="6B432800" w14:textId="77777777" w:rsidR="00096F56" w:rsidRPr="00D33D10" w:rsidRDefault="00096F56" w:rsidP="00096F56">
      <w:pPr>
        <w:pStyle w:val="Titre3"/>
        <w:rPr>
          <w:rFonts w:cs="Times New Roman"/>
        </w:rPr>
      </w:pPr>
      <w:bookmarkStart w:id="10" w:name="_Toc194580581"/>
      <w:bookmarkStart w:id="11" w:name="_Toc194580735"/>
      <w:bookmarkStart w:id="12" w:name="_Toc197049979"/>
      <w:bookmarkStart w:id="13" w:name="_Toc199845160"/>
      <w:r w:rsidRPr="00D33D10">
        <w:rPr>
          <w:rFonts w:cs="Times New Roman"/>
        </w:rPr>
        <w:t>TDD : DA pendant la phase infantile (enfant &lt;2ans)</w:t>
      </w:r>
      <w:bookmarkEnd w:id="10"/>
      <w:bookmarkEnd w:id="11"/>
      <w:bookmarkEnd w:id="12"/>
      <w:bookmarkEnd w:id="13"/>
      <w:r w:rsidRPr="00D33D10">
        <w:rPr>
          <w:rFonts w:cs="Times New Roman"/>
        </w:rPr>
        <w:t xml:space="preserve"> </w:t>
      </w:r>
    </w:p>
    <w:p w14:paraId="0A626AAF" w14:textId="77777777" w:rsidR="00096F56" w:rsidRPr="00D33D10" w:rsidRDefault="00096F56" w:rsidP="00096F56">
      <w:pPr>
        <w:rPr>
          <w:rFonts w:cs="Times New Roman"/>
        </w:rPr>
      </w:pPr>
      <w:r w:rsidRPr="00D33D10">
        <w:rPr>
          <w:rFonts w:cs="Times New Roman"/>
        </w:rPr>
        <w:t xml:space="preserve">Début généralement </w:t>
      </w:r>
      <w:r w:rsidRPr="00D33D10">
        <w:rPr>
          <w:rFonts w:cs="Times New Roman"/>
          <w:b/>
        </w:rPr>
        <w:t>vers 3 mois</w:t>
      </w:r>
      <w:r w:rsidRPr="00D33D10">
        <w:rPr>
          <w:rFonts w:cs="Times New Roman"/>
        </w:rPr>
        <w:t xml:space="preserve"> : </w:t>
      </w:r>
    </w:p>
    <w:p w14:paraId="7CA37797" w14:textId="77777777" w:rsidR="00096F56" w:rsidRPr="00D33D10" w:rsidRDefault="00096F56" w:rsidP="007751D8">
      <w:pPr>
        <w:numPr>
          <w:ilvl w:val="1"/>
          <w:numId w:val="8"/>
        </w:numPr>
        <w:rPr>
          <w:rFonts w:cs="Times New Roman"/>
          <w:b/>
        </w:rPr>
      </w:pPr>
      <w:r w:rsidRPr="00D33D10">
        <w:rPr>
          <w:rFonts w:cs="Times New Roman"/>
        </w:rPr>
        <w:t xml:space="preserve">Signe fonctionnel : </w:t>
      </w:r>
      <w:r w:rsidRPr="00D33D10">
        <w:rPr>
          <w:rFonts w:cs="Times New Roman"/>
          <w:b/>
        </w:rPr>
        <w:t xml:space="preserve">prurit </w:t>
      </w:r>
    </w:p>
    <w:p w14:paraId="262FC8A7" w14:textId="77777777" w:rsidR="00096F56" w:rsidRPr="00D33D10" w:rsidRDefault="007751D8" w:rsidP="007751D8">
      <w:pPr>
        <w:numPr>
          <w:ilvl w:val="1"/>
          <w:numId w:val="8"/>
        </w:numPr>
        <w:rPr>
          <w:rFonts w:cs="Times New Roman"/>
          <w:b/>
        </w:rPr>
      </w:pPr>
      <w:r w:rsidRPr="00D33D10">
        <w:rPr>
          <w:rFonts w:cs="Times New Roman"/>
          <w:b/>
          <w:noProof/>
          <w:lang w:eastAsia="zh-CN"/>
        </w:rPr>
        <w:drawing>
          <wp:anchor distT="0" distB="0" distL="114300" distR="114300" simplePos="0" relativeHeight="251659264" behindDoc="0" locked="0" layoutInCell="1" allowOverlap="1" wp14:anchorId="59E331A6" wp14:editId="7BF49DD8">
            <wp:simplePos x="0" y="0"/>
            <wp:positionH relativeFrom="column">
              <wp:posOffset>274488</wp:posOffset>
            </wp:positionH>
            <wp:positionV relativeFrom="paragraph">
              <wp:posOffset>424971</wp:posOffset>
            </wp:positionV>
            <wp:extent cx="1509395" cy="987425"/>
            <wp:effectExtent l="0" t="0" r="0" b="3175"/>
            <wp:wrapTopAndBottom/>
            <wp:docPr id="11" name="Image 11" descr="C:\Users\DELL\Desktop\Images\atopic_dermatitis_acute_high_f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esktop\Images\atopic_dermatitis_acute_high_f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6F56" w:rsidRPr="00D33D10">
        <w:rPr>
          <w:rFonts w:cs="Times New Roman"/>
          <w:b/>
        </w:rPr>
        <w:t xml:space="preserve">Erythème et œdème puis des poussés vésiculaires, suintement, desquamation ou croûte </w:t>
      </w:r>
    </w:p>
    <w:p w14:paraId="12317E9F" w14:textId="77777777" w:rsidR="00096F56" w:rsidRPr="00D33D10" w:rsidRDefault="00096F56" w:rsidP="007751D8">
      <w:pPr>
        <w:numPr>
          <w:ilvl w:val="1"/>
          <w:numId w:val="8"/>
        </w:numPr>
        <w:rPr>
          <w:rFonts w:cs="Times New Roman"/>
          <w:b/>
        </w:rPr>
      </w:pPr>
      <w:r w:rsidRPr="00D33D10">
        <w:rPr>
          <w:rFonts w:cs="Times New Roman"/>
        </w:rPr>
        <w:t xml:space="preserve">Topographie : </w:t>
      </w:r>
    </w:p>
    <w:p w14:paraId="0FD345F9" w14:textId="77777777" w:rsidR="00096F56" w:rsidRPr="00D33D10" w:rsidRDefault="00096F56" w:rsidP="00096F56">
      <w:pPr>
        <w:pStyle w:val="Paragraphedeliste"/>
        <w:numPr>
          <w:ilvl w:val="2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D33D10">
        <w:rPr>
          <w:rFonts w:ascii="Times New Roman" w:hAnsi="Times New Roman" w:cs="Times New Roman"/>
          <w:sz w:val="20"/>
          <w:szCs w:val="20"/>
        </w:rPr>
        <w:t xml:space="preserve">Convexité des membres et du visage, symétrique </w:t>
      </w:r>
    </w:p>
    <w:p w14:paraId="37301B61" w14:textId="77777777" w:rsidR="00096F56" w:rsidRPr="00D33D10" w:rsidRDefault="00096F56" w:rsidP="00096F56">
      <w:pPr>
        <w:pStyle w:val="Paragraphedeliste"/>
        <w:numPr>
          <w:ilvl w:val="2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D33D10">
        <w:rPr>
          <w:rFonts w:ascii="Times New Roman" w:hAnsi="Times New Roman" w:cs="Times New Roman"/>
          <w:sz w:val="20"/>
          <w:szCs w:val="20"/>
        </w:rPr>
        <w:t xml:space="preserve">Partie médiane respecté </w:t>
      </w:r>
    </w:p>
    <w:p w14:paraId="4B971B60" w14:textId="77777777" w:rsidR="00096F56" w:rsidRPr="00D33D10" w:rsidRDefault="00096F56" w:rsidP="00096F56">
      <w:pPr>
        <w:pStyle w:val="Paragraphedeliste"/>
        <w:numPr>
          <w:ilvl w:val="2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D33D10">
        <w:rPr>
          <w:rFonts w:ascii="Times New Roman" w:hAnsi="Times New Roman" w:cs="Times New Roman"/>
          <w:sz w:val="20"/>
          <w:szCs w:val="20"/>
        </w:rPr>
        <w:t xml:space="preserve">Tronc : zone sous les couches culottes </w:t>
      </w:r>
    </w:p>
    <w:p w14:paraId="7F02021F" w14:textId="77777777" w:rsidR="00096F56" w:rsidRPr="00D33D10" w:rsidRDefault="00096F56" w:rsidP="00096F56">
      <w:pPr>
        <w:pStyle w:val="Paragraphedeliste"/>
        <w:numPr>
          <w:ilvl w:val="2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D33D10">
        <w:rPr>
          <w:rFonts w:ascii="Times New Roman" w:hAnsi="Times New Roman" w:cs="Times New Roman"/>
          <w:sz w:val="20"/>
          <w:szCs w:val="20"/>
        </w:rPr>
        <w:t xml:space="preserve">Cuir chevelu : aspect séborrhéique des lésions </w:t>
      </w:r>
    </w:p>
    <w:p w14:paraId="0B184DB6" w14:textId="77777777" w:rsidR="00096F56" w:rsidRPr="00D33D10" w:rsidRDefault="00096F56" w:rsidP="00096F56">
      <w:pPr>
        <w:pStyle w:val="Paragraphedeliste"/>
        <w:numPr>
          <w:ilvl w:val="2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D33D10">
        <w:rPr>
          <w:rFonts w:ascii="Times New Roman" w:hAnsi="Times New Roman" w:cs="Times New Roman"/>
          <w:sz w:val="20"/>
          <w:szCs w:val="20"/>
        </w:rPr>
        <w:t xml:space="preserve">Plis </w:t>
      </w:r>
    </w:p>
    <w:p w14:paraId="3E69E8B4" w14:textId="77777777"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>Dans la 2</w:t>
      </w:r>
      <w:r w:rsidRPr="00D33D10">
        <w:rPr>
          <w:rFonts w:cs="Times New Roman"/>
          <w:vertAlign w:val="superscript"/>
        </w:rPr>
        <w:t>ème</w:t>
      </w:r>
      <w:r w:rsidRPr="00D33D10">
        <w:rPr>
          <w:rFonts w:cs="Times New Roman"/>
        </w:rPr>
        <w:t xml:space="preserve"> année : </w:t>
      </w:r>
    </w:p>
    <w:p w14:paraId="001113F7" w14:textId="77777777"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Peau sèche </w:t>
      </w:r>
    </w:p>
    <w:p w14:paraId="2A37A4A7" w14:textId="77777777"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Lésions aigue : suintantes, croûteuses, impétiginisées </w:t>
      </w:r>
    </w:p>
    <w:p w14:paraId="33B45DCE" w14:textId="77777777"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Lésions chronique : aspect nummulaire au niveau du tronc, mamelon et dos </w:t>
      </w:r>
    </w:p>
    <w:p w14:paraId="297F85B9" w14:textId="77777777" w:rsidR="00096F56" w:rsidRPr="00D33D10" w:rsidRDefault="00096F56" w:rsidP="007751D8">
      <w:pPr>
        <w:pStyle w:val="Titre3"/>
        <w:rPr>
          <w:rFonts w:cs="Times New Roman"/>
        </w:rPr>
      </w:pPr>
      <w:bookmarkStart w:id="14" w:name="_Toc194580582"/>
      <w:bookmarkStart w:id="15" w:name="_Toc194580736"/>
      <w:bookmarkStart w:id="16" w:name="_Toc197049980"/>
      <w:bookmarkStart w:id="17" w:name="_Toc199845161"/>
      <w:r w:rsidRPr="00D33D10">
        <w:rPr>
          <w:rFonts w:cs="Times New Roman"/>
        </w:rPr>
        <w:lastRenderedPageBreak/>
        <w:t>Formes cliniques</w:t>
      </w:r>
      <w:bookmarkEnd w:id="14"/>
      <w:bookmarkEnd w:id="15"/>
      <w:bookmarkEnd w:id="16"/>
      <w:bookmarkEnd w:id="17"/>
      <w:r w:rsidRPr="00D33D10">
        <w:rPr>
          <w:rFonts w:cs="Times New Roman"/>
        </w:rPr>
        <w:t xml:space="preserve"> </w:t>
      </w:r>
    </w:p>
    <w:p w14:paraId="1C39D48A" w14:textId="77777777" w:rsidR="00096F56" w:rsidRPr="00D33D10" w:rsidRDefault="00096F56" w:rsidP="007751D8">
      <w:pPr>
        <w:pStyle w:val="Titre4"/>
        <w:rPr>
          <w:rFonts w:cs="Times New Roman"/>
        </w:rPr>
      </w:pPr>
      <w:bookmarkStart w:id="18" w:name="_Toc194580737"/>
      <w:r w:rsidRPr="00D33D10">
        <w:rPr>
          <w:rFonts w:cs="Times New Roman"/>
        </w:rPr>
        <w:t>DA chez l’enfant après 2 ans</w:t>
      </w:r>
      <w:bookmarkEnd w:id="18"/>
      <w:r w:rsidRPr="00D33D10">
        <w:rPr>
          <w:rFonts w:cs="Times New Roman"/>
        </w:rPr>
        <w:t xml:space="preserve"> </w:t>
      </w:r>
    </w:p>
    <w:p w14:paraId="719B6CCD" w14:textId="77777777"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>Lésions d’eczéma au niveau des plis ou des « zones bastion » de l’eczéma (main, poignets, chevilles)</w:t>
      </w:r>
    </w:p>
    <w:p w14:paraId="72A9D6ED" w14:textId="77777777" w:rsidR="00096F56" w:rsidRPr="00D33D10" w:rsidRDefault="007751D8" w:rsidP="007751D8">
      <w:pPr>
        <w:rPr>
          <w:rFonts w:cs="Times New Roman"/>
        </w:rPr>
      </w:pPr>
      <w:r w:rsidRPr="00D33D10">
        <w:rPr>
          <w:rFonts w:cs="Times New Roman"/>
          <w:noProof/>
          <w:lang w:eastAsia="zh-CN"/>
        </w:rPr>
        <w:drawing>
          <wp:anchor distT="0" distB="0" distL="114300" distR="114300" simplePos="0" relativeHeight="251660288" behindDoc="0" locked="0" layoutInCell="1" allowOverlap="1" wp14:anchorId="725860ED" wp14:editId="438B4EDF">
            <wp:simplePos x="0" y="0"/>
            <wp:positionH relativeFrom="margin">
              <wp:align>left</wp:align>
            </wp:positionH>
            <wp:positionV relativeFrom="paragraph">
              <wp:posOffset>189359</wp:posOffset>
            </wp:positionV>
            <wp:extent cx="1431925" cy="939165"/>
            <wp:effectExtent l="0" t="0" r="0" b="0"/>
            <wp:wrapTopAndBottom/>
            <wp:docPr id="13" name="Image 13" descr="C:\Users\DELL\Desktop\Images\skin_lesion_lichenification_high_f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esktop\Images\skin_lesion_lichenification_high_fr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6F56" w:rsidRPr="00D33D10">
        <w:rPr>
          <w:rFonts w:cs="Times New Roman"/>
        </w:rPr>
        <w:t xml:space="preserve">Poussées saisonnières : hiver, automne  </w:t>
      </w:r>
    </w:p>
    <w:p w14:paraId="78A73602" w14:textId="77777777"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5D94B5" wp14:editId="6B1EB978">
                <wp:simplePos x="0" y="0"/>
                <wp:positionH relativeFrom="page">
                  <wp:posOffset>1535501</wp:posOffset>
                </wp:positionH>
                <wp:positionV relativeFrom="page">
                  <wp:posOffset>8583283</wp:posOffset>
                </wp:positionV>
                <wp:extent cx="422323" cy="189781"/>
                <wp:effectExtent l="38100" t="0" r="15875" b="58420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2323" cy="189781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4CFD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5" o:spid="_x0000_s1026" type="#_x0000_t32" style="position:absolute;margin-left:120.9pt;margin-top:675.85pt;width:33.25pt;height:14.9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" strokecolor="black [3213]" strokeweight="1.5pt">
                <v:stroke endarrow="block" joinstyle="miter"/>
                <w10:wrap anchorx="page" anchory="page"/>
              </v:shape>
            </w:pict>
          </mc:Fallback>
        </mc:AlternateContent>
      </w:r>
      <w:r w:rsidRPr="00D33D10">
        <w:rPr>
          <w:rFonts w:cs="Times New Roman"/>
        </w:rPr>
        <w:t xml:space="preserve">Lichénifications prédominant sur l’érythème et l’œdème </w:t>
      </w:r>
    </w:p>
    <w:p w14:paraId="41CFEAEE" w14:textId="77777777"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Signes mineurs : </w:t>
      </w:r>
    </w:p>
    <w:p w14:paraId="60747E35" w14:textId="77777777"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Pigmentation infra-orbitaire </w:t>
      </w:r>
    </w:p>
    <w:p w14:paraId="701A979C" w14:textId="77777777"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Plis sous palpébraux (signes de </w:t>
      </w:r>
      <w:proofErr w:type="spellStart"/>
      <w:r w:rsidRPr="00D33D10">
        <w:rPr>
          <w:rFonts w:cs="Times New Roman"/>
        </w:rPr>
        <w:t>Dennie</w:t>
      </w:r>
      <w:proofErr w:type="spellEnd"/>
      <w:r w:rsidRPr="00D33D10">
        <w:rPr>
          <w:rFonts w:cs="Times New Roman"/>
        </w:rPr>
        <w:t xml:space="preserve"> Morgan) </w:t>
      </w:r>
    </w:p>
    <w:p w14:paraId="47372C24" w14:textId="77777777"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Pulpite sèches et fissuraire au niveau des pieds </w:t>
      </w:r>
    </w:p>
    <w:p w14:paraId="2AA52D48" w14:textId="77777777"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Eczématides sèches </w:t>
      </w:r>
      <w:proofErr w:type="spellStart"/>
      <w:r w:rsidRPr="00D33D10">
        <w:rPr>
          <w:rFonts w:cs="Times New Roman"/>
        </w:rPr>
        <w:t>achromiantes</w:t>
      </w:r>
      <w:proofErr w:type="spellEnd"/>
      <w:r w:rsidRPr="00D33D10">
        <w:rPr>
          <w:rFonts w:cs="Times New Roman"/>
        </w:rPr>
        <w:t xml:space="preserve"> au niveau du visage (plaque </w:t>
      </w:r>
      <w:proofErr w:type="spellStart"/>
      <w:r w:rsidRPr="00D33D10">
        <w:rPr>
          <w:rFonts w:cs="Times New Roman"/>
        </w:rPr>
        <w:t>hypochromique</w:t>
      </w:r>
      <w:proofErr w:type="spellEnd"/>
      <w:r w:rsidRPr="00D33D10">
        <w:rPr>
          <w:rFonts w:cs="Times New Roman"/>
        </w:rPr>
        <w:t xml:space="preserve"> peu squameuse au niveau du visage) </w:t>
      </w:r>
    </w:p>
    <w:p w14:paraId="1DC6F295" w14:textId="77777777" w:rsidR="00096F56" w:rsidRPr="00D33D10" w:rsidRDefault="00096F56" w:rsidP="007751D8">
      <w:pPr>
        <w:pStyle w:val="Titre4"/>
        <w:rPr>
          <w:rFonts w:cs="Times New Roman"/>
        </w:rPr>
      </w:pPr>
      <w:bookmarkStart w:id="19" w:name="_Toc194580738"/>
      <w:r w:rsidRPr="00D33D10">
        <w:rPr>
          <w:rFonts w:cs="Times New Roman"/>
        </w:rPr>
        <w:t>DA chez l’adolescent et l’adulte</w:t>
      </w:r>
      <w:bookmarkEnd w:id="19"/>
      <w:r w:rsidRPr="00D33D10">
        <w:rPr>
          <w:rFonts w:cs="Times New Roman"/>
        </w:rPr>
        <w:t xml:space="preserve"> </w:t>
      </w:r>
    </w:p>
    <w:p w14:paraId="74550648" w14:textId="77777777"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Forme grave possible : aspect </w:t>
      </w:r>
      <w:proofErr w:type="spellStart"/>
      <w:r w:rsidRPr="00D33D10">
        <w:rPr>
          <w:rFonts w:cs="Times New Roman"/>
        </w:rPr>
        <w:t>érythrodermique</w:t>
      </w:r>
      <w:proofErr w:type="spellEnd"/>
      <w:r w:rsidRPr="00D33D10">
        <w:rPr>
          <w:rFonts w:cs="Times New Roman"/>
        </w:rPr>
        <w:t xml:space="preserve">  </w:t>
      </w:r>
    </w:p>
    <w:p w14:paraId="7CDEF548" w14:textId="77777777"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Prurigo lichénifié des membres </w:t>
      </w:r>
    </w:p>
    <w:p w14:paraId="1074D88D" w14:textId="77777777"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Atteinte lichénifié des plis de flexion </w:t>
      </w:r>
    </w:p>
    <w:p w14:paraId="6DA44368" w14:textId="77777777"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>Aspects nummulaires</w:t>
      </w:r>
    </w:p>
    <w:p w14:paraId="51BAD0BC" w14:textId="77777777" w:rsidR="00096F56" w:rsidRPr="00D33D10" w:rsidRDefault="00096F56" w:rsidP="007751D8">
      <w:pPr>
        <w:pStyle w:val="Titre4"/>
        <w:rPr>
          <w:rFonts w:cs="Times New Roman"/>
        </w:rPr>
      </w:pPr>
      <w:bookmarkStart w:id="20" w:name="_Toc194580739"/>
      <w:r w:rsidRPr="00D33D10">
        <w:rPr>
          <w:rFonts w:cs="Times New Roman"/>
        </w:rPr>
        <w:t>Formes compliquées</w:t>
      </w:r>
      <w:bookmarkEnd w:id="20"/>
      <w:r w:rsidRPr="00D33D10">
        <w:rPr>
          <w:rFonts w:cs="Times New Roman"/>
        </w:rPr>
        <w:t xml:space="preserve"> </w:t>
      </w:r>
    </w:p>
    <w:p w14:paraId="06E6A221" w14:textId="77777777" w:rsidR="00096F56" w:rsidRPr="00D33D10" w:rsidRDefault="00096F56" w:rsidP="007751D8">
      <w:pPr>
        <w:rPr>
          <w:rFonts w:cs="Times New Roman"/>
          <w:b/>
        </w:rPr>
      </w:pPr>
      <w:r w:rsidRPr="00D33D10">
        <w:rPr>
          <w:rFonts w:cs="Times New Roman"/>
          <w:b/>
        </w:rPr>
        <w:t xml:space="preserve">DA impétiginisées </w:t>
      </w:r>
    </w:p>
    <w:p w14:paraId="58E679B1" w14:textId="77777777"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Surinfection par staphylocoque doré : lésions </w:t>
      </w:r>
      <w:proofErr w:type="spellStart"/>
      <w:r w:rsidRPr="00D33D10">
        <w:rPr>
          <w:rFonts w:cs="Times New Roman"/>
        </w:rPr>
        <w:t>vésiculo</w:t>
      </w:r>
      <w:proofErr w:type="spellEnd"/>
      <w:r w:rsidRPr="00D33D10">
        <w:rPr>
          <w:rFonts w:cs="Times New Roman"/>
        </w:rPr>
        <w:t xml:space="preserve">-bulleuse </w:t>
      </w:r>
    </w:p>
    <w:p w14:paraId="1CD773DD" w14:textId="77777777"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Surinfection herpétique (pustuleuse varioliforme de kaposi-</w:t>
      </w:r>
      <w:proofErr w:type="spellStart"/>
      <w:r w:rsidRPr="00D33D10">
        <w:rPr>
          <w:rFonts w:cs="Times New Roman"/>
        </w:rPr>
        <w:t>juliesberg</w:t>
      </w:r>
      <w:proofErr w:type="spellEnd"/>
      <w:r w:rsidRPr="00D33D10">
        <w:rPr>
          <w:rFonts w:cs="Times New Roman"/>
        </w:rPr>
        <w:t xml:space="preserve">) : lésions </w:t>
      </w:r>
      <w:proofErr w:type="spellStart"/>
      <w:r w:rsidRPr="00D33D10">
        <w:rPr>
          <w:rFonts w:cs="Times New Roman"/>
        </w:rPr>
        <w:t>vésiculo-pustileuses</w:t>
      </w:r>
      <w:proofErr w:type="spellEnd"/>
      <w:r w:rsidRPr="00D33D10">
        <w:rPr>
          <w:rFonts w:cs="Times New Roman"/>
        </w:rPr>
        <w:t xml:space="preserve"> varioliformes + fièvre)  </w:t>
      </w:r>
    </w:p>
    <w:p w14:paraId="1084A2BB" w14:textId="77777777" w:rsidR="00096F56" w:rsidRPr="00D33D10" w:rsidRDefault="00096F56" w:rsidP="007751D8">
      <w:pPr>
        <w:rPr>
          <w:rFonts w:cs="Times New Roman"/>
          <w:b/>
        </w:rPr>
      </w:pPr>
      <w:r w:rsidRPr="00D33D10">
        <w:rPr>
          <w:rFonts w:cs="Times New Roman"/>
          <w:b/>
        </w:rPr>
        <w:t xml:space="preserve">Complications ophtalmologiques </w:t>
      </w:r>
    </w:p>
    <w:p w14:paraId="4B639150" w14:textId="77777777"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Kérato-conjonctivite </w:t>
      </w:r>
    </w:p>
    <w:p w14:paraId="45CA7870" w14:textId="77777777"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Cataracte </w:t>
      </w:r>
    </w:p>
    <w:p w14:paraId="037B3A61" w14:textId="77777777"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Détachement rétinien </w:t>
      </w:r>
    </w:p>
    <w:p w14:paraId="297B5EFA" w14:textId="77777777" w:rsidR="00096F56" w:rsidRPr="00D33D10" w:rsidRDefault="00096F56" w:rsidP="007751D8">
      <w:pPr>
        <w:pStyle w:val="Titre2"/>
        <w:rPr>
          <w:rFonts w:cs="Times New Roman"/>
        </w:rPr>
      </w:pPr>
      <w:bookmarkStart w:id="21" w:name="_Toc138945056"/>
      <w:bookmarkStart w:id="22" w:name="_Toc194580583"/>
      <w:bookmarkStart w:id="23" w:name="_Toc194580740"/>
      <w:bookmarkStart w:id="24" w:name="_Toc197049981"/>
      <w:bookmarkStart w:id="25" w:name="_Toc199845162"/>
      <w:r w:rsidRPr="00D33D10">
        <w:rPr>
          <w:rFonts w:cs="Times New Roman"/>
        </w:rPr>
        <w:t>Diagnostics</w:t>
      </w:r>
      <w:bookmarkEnd w:id="21"/>
      <w:bookmarkEnd w:id="22"/>
      <w:bookmarkEnd w:id="23"/>
      <w:bookmarkEnd w:id="24"/>
      <w:bookmarkEnd w:id="25"/>
      <w:r w:rsidRPr="00D33D10">
        <w:rPr>
          <w:rFonts w:cs="Times New Roman"/>
        </w:rPr>
        <w:t xml:space="preserve"> </w:t>
      </w:r>
    </w:p>
    <w:p w14:paraId="7CF75816" w14:textId="77777777" w:rsidR="00096F56" w:rsidRPr="00D33D10" w:rsidRDefault="00096F56" w:rsidP="007751D8">
      <w:pPr>
        <w:pStyle w:val="Titre3"/>
        <w:rPr>
          <w:rFonts w:cs="Times New Roman"/>
        </w:rPr>
      </w:pPr>
      <w:bookmarkStart w:id="26" w:name="_Toc194580584"/>
      <w:bookmarkStart w:id="27" w:name="_Toc194580741"/>
      <w:bookmarkStart w:id="28" w:name="_Toc197049982"/>
      <w:bookmarkStart w:id="29" w:name="_Toc199845163"/>
      <w:r w:rsidRPr="00D33D10">
        <w:rPr>
          <w:rFonts w:cs="Times New Roman"/>
        </w:rPr>
        <w:t>Positifs</w:t>
      </w:r>
      <w:bookmarkEnd w:id="26"/>
      <w:bookmarkEnd w:id="27"/>
      <w:bookmarkEnd w:id="28"/>
      <w:bookmarkEnd w:id="29"/>
      <w:r w:rsidRPr="00D33D10">
        <w:rPr>
          <w:rFonts w:cs="Times New Roman"/>
        </w:rPr>
        <w:t xml:space="preserve"> </w:t>
      </w:r>
    </w:p>
    <w:p w14:paraId="37FB37D5" w14:textId="77777777"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Cliniques : </w:t>
      </w:r>
    </w:p>
    <w:p w14:paraId="3B99B953" w14:textId="77777777" w:rsidR="00096F56" w:rsidRPr="00D33D10" w:rsidRDefault="00096F56" w:rsidP="007751D8">
      <w:pPr>
        <w:numPr>
          <w:ilvl w:val="1"/>
          <w:numId w:val="8"/>
        </w:numPr>
        <w:rPr>
          <w:rFonts w:cs="Times New Roman"/>
          <w:b/>
        </w:rPr>
      </w:pPr>
      <w:r w:rsidRPr="00D33D10">
        <w:rPr>
          <w:rFonts w:cs="Times New Roman"/>
          <w:b/>
        </w:rPr>
        <w:t xml:space="preserve">Erythème puis poussés vésiculeuses, suintements, desquamations ou croûtes </w:t>
      </w:r>
    </w:p>
    <w:p w14:paraId="136781EB" w14:textId="77777777" w:rsidR="00096F56" w:rsidRPr="00D33D10" w:rsidRDefault="00096F56" w:rsidP="007751D8">
      <w:pPr>
        <w:numPr>
          <w:ilvl w:val="1"/>
          <w:numId w:val="8"/>
        </w:numPr>
        <w:rPr>
          <w:rFonts w:cs="Times New Roman"/>
          <w:b/>
        </w:rPr>
      </w:pPr>
      <w:r w:rsidRPr="00D33D10">
        <w:rPr>
          <w:rFonts w:cs="Times New Roman"/>
          <w:b/>
        </w:rPr>
        <w:t xml:space="preserve">Prurits </w:t>
      </w:r>
    </w:p>
    <w:p w14:paraId="04EFC2E8" w14:textId="77777777"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lastRenderedPageBreak/>
        <w:t xml:space="preserve">Topo : </w:t>
      </w:r>
      <w:r w:rsidRPr="00D33D10">
        <w:rPr>
          <w:rFonts w:cs="Times New Roman"/>
        </w:rPr>
        <w:tab/>
      </w:r>
    </w:p>
    <w:p w14:paraId="7D14EA09" w14:textId="77777777" w:rsidR="00096F56" w:rsidRPr="00D33D10" w:rsidRDefault="00096F56" w:rsidP="007751D8">
      <w:pPr>
        <w:numPr>
          <w:ilvl w:val="1"/>
          <w:numId w:val="8"/>
        </w:numPr>
        <w:rPr>
          <w:rFonts w:cs="Times New Roman"/>
          <w:b/>
        </w:rPr>
      </w:pPr>
      <w:r w:rsidRPr="00D33D10">
        <w:rPr>
          <w:rFonts w:cs="Times New Roman"/>
          <w:b/>
        </w:rPr>
        <w:t xml:space="preserve">Convexité des membres et visage avant 2 ans </w:t>
      </w:r>
    </w:p>
    <w:p w14:paraId="26635E79" w14:textId="77777777" w:rsidR="00096F56" w:rsidRPr="00D33D10" w:rsidRDefault="00096F56" w:rsidP="007751D8">
      <w:pPr>
        <w:numPr>
          <w:ilvl w:val="1"/>
          <w:numId w:val="8"/>
        </w:numPr>
        <w:rPr>
          <w:rFonts w:cs="Times New Roman"/>
          <w:b/>
        </w:rPr>
      </w:pPr>
      <w:r w:rsidRPr="00D33D10">
        <w:rPr>
          <w:rFonts w:cs="Times New Roman"/>
          <w:b/>
        </w:rPr>
        <w:t xml:space="preserve">Plis ou zones de bastion de l’eczéma après 2 ans </w:t>
      </w:r>
    </w:p>
    <w:p w14:paraId="4D2BFD88" w14:textId="77777777" w:rsidR="00096F56" w:rsidRPr="00D33D10" w:rsidRDefault="00096F56" w:rsidP="007751D8">
      <w:pPr>
        <w:pStyle w:val="Titre3"/>
        <w:rPr>
          <w:rFonts w:cs="Times New Roman"/>
        </w:rPr>
      </w:pPr>
      <w:bookmarkStart w:id="30" w:name="_Toc194580585"/>
      <w:bookmarkStart w:id="31" w:name="_Toc194580742"/>
      <w:bookmarkStart w:id="32" w:name="_Toc197049983"/>
      <w:bookmarkStart w:id="33" w:name="_Toc199845164"/>
      <w:r w:rsidRPr="00D33D10">
        <w:rPr>
          <w:rFonts w:cs="Times New Roman"/>
        </w:rPr>
        <w:t>Différentiels</w:t>
      </w:r>
      <w:bookmarkEnd w:id="30"/>
      <w:bookmarkEnd w:id="31"/>
      <w:bookmarkEnd w:id="32"/>
      <w:bookmarkEnd w:id="33"/>
      <w:r w:rsidRPr="00D33D10">
        <w:rPr>
          <w:rFonts w:cs="Times New Roman"/>
        </w:rPr>
        <w:t xml:space="preserve"> </w:t>
      </w:r>
    </w:p>
    <w:p w14:paraId="2BAA1F60" w14:textId="77777777"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Avant 2 ans : </w:t>
      </w:r>
    </w:p>
    <w:p w14:paraId="38827EF7" w14:textId="77777777"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Gale </w:t>
      </w:r>
    </w:p>
    <w:p w14:paraId="014DA273" w14:textId="77777777"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Dermatite séborrhéique </w:t>
      </w:r>
    </w:p>
    <w:p w14:paraId="1A5DCBA7" w14:textId="77777777"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Psoriasis </w:t>
      </w:r>
    </w:p>
    <w:p w14:paraId="1B5A9027" w14:textId="77777777"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Après 2 ans : </w:t>
      </w:r>
    </w:p>
    <w:p w14:paraId="7C58D5E9" w14:textId="77777777"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Eczéma de contact </w:t>
      </w:r>
    </w:p>
    <w:p w14:paraId="77133481" w14:textId="77777777"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Psoriasis </w:t>
      </w:r>
    </w:p>
    <w:p w14:paraId="36D22DD4" w14:textId="77777777"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Forme érythrodermie de l’adulte : </w:t>
      </w:r>
    </w:p>
    <w:p w14:paraId="3834E652" w14:textId="77777777"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Lymphome cutané</w:t>
      </w:r>
    </w:p>
    <w:p w14:paraId="6074BC7E" w14:textId="77777777"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Toxidermie (réaction indésirable au médicament)</w:t>
      </w:r>
    </w:p>
    <w:p w14:paraId="79700C68" w14:textId="77777777"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Néoplasie profonde </w:t>
      </w:r>
    </w:p>
    <w:p w14:paraId="5A98DB6E" w14:textId="77777777"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Psoriasis </w:t>
      </w:r>
    </w:p>
    <w:p w14:paraId="3526E94C" w14:textId="77777777" w:rsidR="00096F56" w:rsidRPr="00D33D10" w:rsidRDefault="00096F56" w:rsidP="007751D8">
      <w:pPr>
        <w:pStyle w:val="Titre3"/>
        <w:rPr>
          <w:rFonts w:cs="Times New Roman"/>
        </w:rPr>
      </w:pPr>
      <w:bookmarkStart w:id="34" w:name="_Toc194580586"/>
      <w:bookmarkStart w:id="35" w:name="_Toc194580743"/>
      <w:bookmarkStart w:id="36" w:name="_Toc197049984"/>
      <w:bookmarkStart w:id="37" w:name="_Toc199845165"/>
      <w:r w:rsidRPr="00D33D10">
        <w:rPr>
          <w:rFonts w:cs="Times New Roman"/>
        </w:rPr>
        <w:t>Etiologiques</w:t>
      </w:r>
      <w:bookmarkEnd w:id="34"/>
      <w:bookmarkEnd w:id="35"/>
      <w:bookmarkEnd w:id="36"/>
      <w:bookmarkEnd w:id="37"/>
      <w:r w:rsidRPr="00D33D10">
        <w:rPr>
          <w:rFonts w:cs="Times New Roman"/>
        </w:rPr>
        <w:t xml:space="preserve"> </w:t>
      </w:r>
    </w:p>
    <w:p w14:paraId="30D0D663" w14:textId="77777777"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Activation dans la peau de lymphocyte T spécifique d’antigène </w:t>
      </w:r>
    </w:p>
    <w:p w14:paraId="56BD5C45" w14:textId="77777777"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Réaction </w:t>
      </w:r>
      <w:r w:rsidR="002909BC" w:rsidRPr="00D33D10">
        <w:rPr>
          <w:rFonts w:cs="Times New Roman"/>
        </w:rPr>
        <w:t>d’hypersensibilité retardée</w:t>
      </w:r>
      <w:r w:rsidRPr="00D33D10">
        <w:rPr>
          <w:rFonts w:cs="Times New Roman"/>
        </w:rPr>
        <w:t xml:space="preserve"> </w:t>
      </w:r>
    </w:p>
    <w:p w14:paraId="3989A7C5" w14:textId="77777777"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Autres facteurs non spécifiques :  </w:t>
      </w:r>
    </w:p>
    <w:p w14:paraId="70F60F33" w14:textId="77777777"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  <w:b/>
        </w:rPr>
        <w:t>Anomalies génétiques</w:t>
      </w:r>
      <w:r w:rsidR="00017412" w:rsidRPr="00D33D10">
        <w:rPr>
          <w:rFonts w:cs="Times New Roman"/>
        </w:rPr>
        <w:t xml:space="preserve"> : défaut de production des </w:t>
      </w:r>
      <w:proofErr w:type="spellStart"/>
      <w:r w:rsidR="00017412" w:rsidRPr="00D33D10">
        <w:rPr>
          <w:rFonts w:cs="Times New Roman"/>
        </w:rPr>
        <w:t>flag</w:t>
      </w:r>
      <w:r w:rsidRPr="00D33D10">
        <w:rPr>
          <w:rFonts w:cs="Times New Roman"/>
        </w:rPr>
        <w:t>grines</w:t>
      </w:r>
      <w:proofErr w:type="spellEnd"/>
      <w:r w:rsidRPr="00D33D10">
        <w:rPr>
          <w:rFonts w:cs="Times New Roman"/>
        </w:rPr>
        <w:t xml:space="preserve">, molécule nécessaire à la constitution de la couche cornée </w:t>
      </w:r>
      <w:r w:rsidRPr="00D33D10">
        <w:rPr>
          <w:rFonts w:cs="Times New Roman"/>
        </w:rPr>
        <w:sym w:font="Symbol" w:char="F0AE"/>
      </w:r>
      <w:r w:rsidRPr="00D33D10">
        <w:rPr>
          <w:rFonts w:cs="Times New Roman"/>
        </w:rPr>
        <w:t xml:space="preserve"> pénétration facile des antigènes </w:t>
      </w:r>
      <w:r w:rsidRPr="00D33D10">
        <w:rPr>
          <w:rFonts w:cs="Times New Roman"/>
        </w:rPr>
        <w:sym w:font="Symbol" w:char="F0AE"/>
      </w:r>
      <w:r w:rsidRPr="00D33D10">
        <w:rPr>
          <w:rFonts w:cs="Times New Roman"/>
        </w:rPr>
        <w:t xml:space="preserve"> sensibilisation et déclenchement des poussés</w:t>
      </w:r>
    </w:p>
    <w:p w14:paraId="2AB2012E" w14:textId="77777777"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LT CD8+ nécessaire à l’initiation des lésions </w:t>
      </w:r>
    </w:p>
    <w:p w14:paraId="09E3F9B0" w14:textId="77777777"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Physiopathologie schématique de la DA : </w:t>
      </w:r>
    </w:p>
    <w:p w14:paraId="09EE7C5A" w14:textId="77777777"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Peau normale : </w:t>
      </w:r>
    </w:p>
    <w:p w14:paraId="1D255101" w14:textId="77777777"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L’eau s’évapore peu </w:t>
      </w:r>
    </w:p>
    <w:p w14:paraId="3BA151B4" w14:textId="77777777"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Les allergènes ne peuvent pas entrer </w:t>
      </w:r>
    </w:p>
    <w:p w14:paraId="36C84507" w14:textId="77777777"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Peau </w:t>
      </w:r>
      <w:proofErr w:type="spellStart"/>
      <w:r w:rsidRPr="00D33D10">
        <w:rPr>
          <w:rFonts w:cs="Times New Roman"/>
        </w:rPr>
        <w:t>atopique</w:t>
      </w:r>
      <w:proofErr w:type="spellEnd"/>
      <w:r w:rsidRPr="00D33D10">
        <w:rPr>
          <w:rFonts w:cs="Times New Roman"/>
        </w:rPr>
        <w:t xml:space="preserve"> </w:t>
      </w:r>
    </w:p>
    <w:p w14:paraId="3C0CE0D4" w14:textId="77777777" w:rsidR="00096F56" w:rsidRPr="00D33D10" w:rsidRDefault="00096F56" w:rsidP="007751D8">
      <w:pPr>
        <w:pStyle w:val="Sous-titre"/>
        <w:rPr>
          <w:rFonts w:cs="Times New Roman"/>
        </w:rPr>
      </w:pPr>
      <w:bookmarkStart w:id="38" w:name="_Toc138945057"/>
      <w:r w:rsidRPr="00D33D10">
        <w:rPr>
          <w:rFonts w:cs="Times New Roman"/>
        </w:rPr>
        <w:t>Conclusion</w:t>
      </w:r>
      <w:bookmarkEnd w:id="38"/>
      <w:r w:rsidRPr="00D33D10">
        <w:rPr>
          <w:rFonts w:cs="Times New Roman"/>
        </w:rPr>
        <w:t xml:space="preserve"> </w:t>
      </w:r>
    </w:p>
    <w:p w14:paraId="551A0333" w14:textId="77777777"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>DA :</w:t>
      </w:r>
    </w:p>
    <w:p w14:paraId="61F9A1BA" w14:textId="77777777"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 Lésions d’eczéma </w:t>
      </w:r>
    </w:p>
    <w:p w14:paraId="40BE537B" w14:textId="77777777"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Convexité des membres et du visage avant 2 ans </w:t>
      </w:r>
    </w:p>
    <w:p w14:paraId="609579A3" w14:textId="77777777"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Plis ou « zone de bastion » de l’eczéma après 2 ans </w:t>
      </w:r>
    </w:p>
    <w:p w14:paraId="616847E4" w14:textId="77777777" w:rsidR="00096F56" w:rsidRPr="00D33D10" w:rsidRDefault="00017412" w:rsidP="007751D8">
      <w:pPr>
        <w:rPr>
          <w:rFonts w:cs="Times New Roman"/>
        </w:rPr>
      </w:pPr>
      <w:r w:rsidRPr="00D33D10">
        <w:rPr>
          <w:rFonts w:cs="Times New Roman"/>
        </w:rPr>
        <w:t xml:space="preserve">Formes </w:t>
      </w:r>
      <w:proofErr w:type="spellStart"/>
      <w:r w:rsidRPr="00D33D10">
        <w:rPr>
          <w:rFonts w:cs="Times New Roman"/>
        </w:rPr>
        <w:t>érythrodermiques</w:t>
      </w:r>
      <w:proofErr w:type="spellEnd"/>
      <w:r w:rsidR="00096F56" w:rsidRPr="00D33D10">
        <w:rPr>
          <w:rFonts w:cs="Times New Roman"/>
        </w:rPr>
        <w:t xml:space="preserve"> </w:t>
      </w:r>
    </w:p>
    <w:p w14:paraId="789AE252" w14:textId="77777777"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A différencier des autres dermatites eczématiformes : </w:t>
      </w:r>
    </w:p>
    <w:p w14:paraId="68E96497" w14:textId="77777777"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>Topo</w:t>
      </w:r>
    </w:p>
    <w:p w14:paraId="5CC4D7FC" w14:textId="77777777"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Prurit, …. </w:t>
      </w:r>
    </w:p>
    <w:sectPr w:rsidR="00096F56" w:rsidRPr="00D33D10" w:rsidSect="000A74E3">
      <w:headerReference w:type="default" r:id="rId10"/>
      <w:footerReference w:type="default" r:id="rId11"/>
      <w:pgSz w:w="8391" w:h="11907" w:code="11"/>
      <w:pgMar w:top="567" w:right="851" w:bottom="567" w:left="851" w:header="284" w:footer="28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77647" w14:textId="77777777" w:rsidR="008371F8" w:rsidRDefault="008371F8" w:rsidP="00CF2E78">
      <w:pPr>
        <w:spacing w:line="240" w:lineRule="auto"/>
      </w:pPr>
      <w:r>
        <w:separator/>
      </w:r>
    </w:p>
  </w:endnote>
  <w:endnote w:type="continuationSeparator" w:id="0">
    <w:p w14:paraId="3A76CE52" w14:textId="77777777" w:rsidR="008371F8" w:rsidRDefault="008371F8" w:rsidP="00CF2E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80C53" w14:textId="42F66126" w:rsidR="00EF3288" w:rsidRDefault="00EF3288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5853E3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846F62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Cs w:val="24"/>
              </w:rPr>
              <w:fldChar w:fldCharType="end"/>
            </w:r>
          </w:sdtContent>
        </w:sdt>
      </w:sdtContent>
    </w:sdt>
  </w:p>
  <w:p w14:paraId="313DCD1B" w14:textId="77777777" w:rsidR="00EF3288" w:rsidRDefault="00EF3288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22898" w14:textId="77777777" w:rsidR="008371F8" w:rsidRDefault="008371F8" w:rsidP="00CF2E78">
      <w:pPr>
        <w:spacing w:line="240" w:lineRule="auto"/>
      </w:pPr>
      <w:r>
        <w:separator/>
      </w:r>
    </w:p>
  </w:footnote>
  <w:footnote w:type="continuationSeparator" w:id="0">
    <w:p w14:paraId="10EE25B7" w14:textId="77777777" w:rsidR="008371F8" w:rsidRDefault="008371F8" w:rsidP="00CF2E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85B0A" w14:textId="77777777" w:rsidR="00EF3288" w:rsidRDefault="00EF3288" w:rsidP="00CF2E78">
    <w:pPr>
      <w:pStyle w:val="En-tte"/>
      <w:numPr>
        <w:ilvl w:val="0"/>
        <w:numId w:val="0"/>
      </w:numPr>
      <w:jc w:val="center"/>
    </w:pPr>
    <w:proofErr w:type="spellStart"/>
    <w:r>
      <w:t>ZICO’s</w:t>
    </w:r>
    <w:proofErr w:type="spellEnd"/>
    <w:r>
      <w:t xml:space="preserve"> note </w:t>
    </w:r>
    <w:proofErr w:type="spellStart"/>
    <w: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A245F2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8D0F4F"/>
    <w:multiLevelType w:val="hybridMultilevel"/>
    <w:tmpl w:val="56FA26E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BFA22A28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60411E4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6B74F9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1B658C"/>
    <w:multiLevelType w:val="multilevel"/>
    <w:tmpl w:val="2206912C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2BB23DA"/>
    <w:multiLevelType w:val="hybridMultilevel"/>
    <w:tmpl w:val="1FE02F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89682B"/>
    <w:multiLevelType w:val="hybridMultilevel"/>
    <w:tmpl w:val="27A8C4CC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4910E69"/>
    <w:multiLevelType w:val="multilevel"/>
    <w:tmpl w:val="397228A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upperRoman"/>
      <w:lvlText w:val="%2."/>
      <w:lvlJc w:val="left"/>
      <w:pPr>
        <w:ind w:left="431" w:hanging="431"/>
      </w:pPr>
      <w:rPr>
        <w:rFonts w:hint="default"/>
      </w:rPr>
    </w:lvl>
    <w:lvl w:ilvl="2">
      <w:start w:val="1"/>
      <w:numFmt w:val="upperLetter"/>
      <w:lvlText w:val="%3. "/>
      <w:lvlJc w:val="left"/>
      <w:pPr>
        <w:ind w:left="284" w:hanging="284"/>
      </w:pPr>
      <w:rPr>
        <w:rFonts w:hint="default"/>
      </w:rPr>
    </w:lvl>
    <w:lvl w:ilvl="3">
      <w:start w:val="1"/>
      <w:numFmt w:val="decimal"/>
      <w:lvlText w:val="%4. "/>
      <w:lvlJc w:val="left"/>
      <w:pPr>
        <w:ind w:left="454" w:hanging="454"/>
      </w:pPr>
      <w:rPr>
        <w:rFonts w:hint="default"/>
      </w:rPr>
    </w:lvl>
    <w:lvl w:ilvl="4">
      <w:start w:val="1"/>
      <w:numFmt w:val="decimal"/>
      <w:lvlText w:val="%4.%5."/>
      <w:lvlJc w:val="left"/>
      <w:pPr>
        <w:ind w:left="851" w:hanging="567"/>
      </w:pPr>
      <w:rPr>
        <w:rFonts w:hint="default"/>
      </w:rPr>
    </w:lvl>
    <w:lvl w:ilvl="5">
      <w:start w:val="1"/>
      <w:numFmt w:val="decimal"/>
      <w:lvlText w:val="%4.%5.%6."/>
      <w:lvlJc w:val="left"/>
      <w:pPr>
        <w:ind w:left="1474" w:hanging="907"/>
      </w:pPr>
      <w:rPr>
        <w:rFonts w:hint="default"/>
      </w:rPr>
    </w:lvl>
    <w:lvl w:ilvl="6">
      <w:start w:val="1"/>
      <w:numFmt w:val="decimal"/>
      <w:lvlText w:val="%4.%5.%6.%7."/>
      <w:lvlJc w:val="left"/>
      <w:pPr>
        <w:ind w:left="1296" w:hanging="1296"/>
      </w:pPr>
      <w:rPr>
        <w:rFonts w:hint="default"/>
        <w:b w:val="0"/>
        <w:i w:val="0"/>
        <w:color w:val="auto"/>
        <w:sz w:val="20"/>
        <w:u w:val="none" w:color="767171" w:themeColor="background2" w:themeShade="80"/>
      </w:rPr>
    </w:lvl>
    <w:lvl w:ilvl="7">
      <w:start w:val="1"/>
      <w:numFmt w:val="none"/>
      <w:lvlText w:val=""/>
      <w:lvlJc w:val="left"/>
      <w:pPr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none"/>
      <w:lvlText w:val="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58725B18"/>
    <w:multiLevelType w:val="multilevel"/>
    <w:tmpl w:val="7026EE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054B4E"/>
    <w:multiLevelType w:val="hybridMultilevel"/>
    <w:tmpl w:val="90C0B8F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 w15:restartNumberingAfterBreak="0">
    <w:nsid w:val="607B27BF"/>
    <w:multiLevelType w:val="multilevel"/>
    <w:tmpl w:val="4028BFF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2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BE38C0"/>
    <w:multiLevelType w:val="hybridMultilevel"/>
    <w:tmpl w:val="E384DAC4"/>
    <w:lvl w:ilvl="0" w:tplc="7DF49460">
      <w:start w:val="1"/>
      <w:numFmt w:val="upperRoman"/>
      <w:lvlText w:val="%1."/>
      <w:lvlJc w:val="right"/>
      <w:pPr>
        <w:ind w:left="436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3"/>
  </w:num>
  <w:num w:numId="3">
    <w:abstractNumId w:val="7"/>
  </w:num>
  <w:num w:numId="4">
    <w:abstractNumId w:val="1"/>
  </w:num>
  <w:num w:numId="5">
    <w:abstractNumId w:val="10"/>
  </w:num>
  <w:num w:numId="6">
    <w:abstractNumId w:val="3"/>
  </w:num>
  <w:num w:numId="7">
    <w:abstractNumId w:val="13"/>
    <w:lvlOverride w:ilvl="0">
      <w:startOverride w:val="1"/>
    </w:lvlOverride>
  </w:num>
  <w:num w:numId="8">
    <w:abstractNumId w:val="11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8"/>
  </w:num>
  <w:num w:numId="12">
    <w:abstractNumId w:val="4"/>
  </w:num>
  <w:num w:numId="13">
    <w:abstractNumId w:val="0"/>
  </w:num>
  <w:num w:numId="14">
    <w:abstractNumId w:val="6"/>
  </w:num>
  <w:num w:numId="15">
    <w:abstractNumId w:val="9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2CE"/>
    <w:rsid w:val="000114F8"/>
    <w:rsid w:val="00017412"/>
    <w:rsid w:val="000276D5"/>
    <w:rsid w:val="0004697D"/>
    <w:rsid w:val="000531C8"/>
    <w:rsid w:val="0006345F"/>
    <w:rsid w:val="00096F56"/>
    <w:rsid w:val="000A205D"/>
    <w:rsid w:val="000A74E3"/>
    <w:rsid w:val="000B5FF5"/>
    <w:rsid w:val="000B73CC"/>
    <w:rsid w:val="000C2008"/>
    <w:rsid w:val="000C2C84"/>
    <w:rsid w:val="000C6960"/>
    <w:rsid w:val="000D4A3C"/>
    <w:rsid w:val="000E0D1E"/>
    <w:rsid w:val="000E404B"/>
    <w:rsid w:val="000F6BB0"/>
    <w:rsid w:val="000F6E2F"/>
    <w:rsid w:val="00106B03"/>
    <w:rsid w:val="00112550"/>
    <w:rsid w:val="001127D2"/>
    <w:rsid w:val="00117F58"/>
    <w:rsid w:val="001221A1"/>
    <w:rsid w:val="00125C4F"/>
    <w:rsid w:val="001379A9"/>
    <w:rsid w:val="001436E3"/>
    <w:rsid w:val="0015015C"/>
    <w:rsid w:val="0015233F"/>
    <w:rsid w:val="00160BFD"/>
    <w:rsid w:val="001623DE"/>
    <w:rsid w:val="00182555"/>
    <w:rsid w:val="00187FCA"/>
    <w:rsid w:val="001932B3"/>
    <w:rsid w:val="001B3AC9"/>
    <w:rsid w:val="001D7D56"/>
    <w:rsid w:val="001E1545"/>
    <w:rsid w:val="001F15D1"/>
    <w:rsid w:val="001F1E4B"/>
    <w:rsid w:val="0020350E"/>
    <w:rsid w:val="00211647"/>
    <w:rsid w:val="0022194A"/>
    <w:rsid w:val="00227A1C"/>
    <w:rsid w:val="00237A66"/>
    <w:rsid w:val="002401EC"/>
    <w:rsid w:val="002468AE"/>
    <w:rsid w:val="0024720C"/>
    <w:rsid w:val="00270FFD"/>
    <w:rsid w:val="002738D6"/>
    <w:rsid w:val="00276E41"/>
    <w:rsid w:val="00284AD6"/>
    <w:rsid w:val="002853A2"/>
    <w:rsid w:val="00286CC0"/>
    <w:rsid w:val="002909BC"/>
    <w:rsid w:val="002A176E"/>
    <w:rsid w:val="002A6786"/>
    <w:rsid w:val="002A72E4"/>
    <w:rsid w:val="002B04E2"/>
    <w:rsid w:val="002C719F"/>
    <w:rsid w:val="002D0A52"/>
    <w:rsid w:val="002D1045"/>
    <w:rsid w:val="002D182D"/>
    <w:rsid w:val="00301A46"/>
    <w:rsid w:val="00310E3B"/>
    <w:rsid w:val="00314745"/>
    <w:rsid w:val="00322412"/>
    <w:rsid w:val="0033133A"/>
    <w:rsid w:val="00345A80"/>
    <w:rsid w:val="00392778"/>
    <w:rsid w:val="003B5877"/>
    <w:rsid w:val="003C2CDF"/>
    <w:rsid w:val="003C5CD1"/>
    <w:rsid w:val="003D3B05"/>
    <w:rsid w:val="003D4286"/>
    <w:rsid w:val="003E1E62"/>
    <w:rsid w:val="003E2518"/>
    <w:rsid w:val="003E5BB3"/>
    <w:rsid w:val="003F4621"/>
    <w:rsid w:val="003F5488"/>
    <w:rsid w:val="00410B75"/>
    <w:rsid w:val="00417587"/>
    <w:rsid w:val="00417D74"/>
    <w:rsid w:val="00421ED2"/>
    <w:rsid w:val="00435AFF"/>
    <w:rsid w:val="004542E8"/>
    <w:rsid w:val="00457209"/>
    <w:rsid w:val="00470460"/>
    <w:rsid w:val="00480D52"/>
    <w:rsid w:val="004968E6"/>
    <w:rsid w:val="00496FB4"/>
    <w:rsid w:val="004A233D"/>
    <w:rsid w:val="004A72A9"/>
    <w:rsid w:val="004B61A2"/>
    <w:rsid w:val="004B7430"/>
    <w:rsid w:val="004D4521"/>
    <w:rsid w:val="004D5881"/>
    <w:rsid w:val="004D6982"/>
    <w:rsid w:val="004E07F7"/>
    <w:rsid w:val="004E0CCE"/>
    <w:rsid w:val="004E1705"/>
    <w:rsid w:val="004F5E90"/>
    <w:rsid w:val="00504ED8"/>
    <w:rsid w:val="00507FC4"/>
    <w:rsid w:val="005129D4"/>
    <w:rsid w:val="00523DD6"/>
    <w:rsid w:val="0053461C"/>
    <w:rsid w:val="00537D12"/>
    <w:rsid w:val="00542309"/>
    <w:rsid w:val="00546B00"/>
    <w:rsid w:val="0055196D"/>
    <w:rsid w:val="005571F1"/>
    <w:rsid w:val="00570358"/>
    <w:rsid w:val="00574222"/>
    <w:rsid w:val="00575373"/>
    <w:rsid w:val="0058285B"/>
    <w:rsid w:val="005853E3"/>
    <w:rsid w:val="0059199C"/>
    <w:rsid w:val="00594132"/>
    <w:rsid w:val="005A790E"/>
    <w:rsid w:val="005C6AC3"/>
    <w:rsid w:val="005D1C5A"/>
    <w:rsid w:val="005D33F8"/>
    <w:rsid w:val="005F4ED9"/>
    <w:rsid w:val="00624A02"/>
    <w:rsid w:val="0063601B"/>
    <w:rsid w:val="006378EA"/>
    <w:rsid w:val="00645ADE"/>
    <w:rsid w:val="00647FFE"/>
    <w:rsid w:val="0065262C"/>
    <w:rsid w:val="006530E0"/>
    <w:rsid w:val="006620FB"/>
    <w:rsid w:val="00671447"/>
    <w:rsid w:val="00673FC3"/>
    <w:rsid w:val="00675C02"/>
    <w:rsid w:val="006B6308"/>
    <w:rsid w:val="006D0988"/>
    <w:rsid w:val="006D2B9E"/>
    <w:rsid w:val="006F752D"/>
    <w:rsid w:val="00700A1C"/>
    <w:rsid w:val="00702686"/>
    <w:rsid w:val="00703F1B"/>
    <w:rsid w:val="007260D2"/>
    <w:rsid w:val="00737795"/>
    <w:rsid w:val="0074522B"/>
    <w:rsid w:val="0075644A"/>
    <w:rsid w:val="00764A94"/>
    <w:rsid w:val="00766366"/>
    <w:rsid w:val="00772A86"/>
    <w:rsid w:val="007737EF"/>
    <w:rsid w:val="007751D8"/>
    <w:rsid w:val="0077582A"/>
    <w:rsid w:val="007828C7"/>
    <w:rsid w:val="00785C57"/>
    <w:rsid w:val="00787FAA"/>
    <w:rsid w:val="007B2AC4"/>
    <w:rsid w:val="007E0A62"/>
    <w:rsid w:val="007E6ECF"/>
    <w:rsid w:val="007E7C54"/>
    <w:rsid w:val="00807132"/>
    <w:rsid w:val="0082373F"/>
    <w:rsid w:val="00826185"/>
    <w:rsid w:val="008371F8"/>
    <w:rsid w:val="00846F62"/>
    <w:rsid w:val="00854A91"/>
    <w:rsid w:val="00865AD3"/>
    <w:rsid w:val="00870A45"/>
    <w:rsid w:val="00873295"/>
    <w:rsid w:val="00891787"/>
    <w:rsid w:val="008A77C3"/>
    <w:rsid w:val="008B39AA"/>
    <w:rsid w:val="008C371D"/>
    <w:rsid w:val="008C58A3"/>
    <w:rsid w:val="008C648B"/>
    <w:rsid w:val="008E29E7"/>
    <w:rsid w:val="008E7B84"/>
    <w:rsid w:val="008F1D00"/>
    <w:rsid w:val="008F72A6"/>
    <w:rsid w:val="00905FB5"/>
    <w:rsid w:val="00910215"/>
    <w:rsid w:val="00932B4A"/>
    <w:rsid w:val="009505A5"/>
    <w:rsid w:val="00957ED9"/>
    <w:rsid w:val="00985F2A"/>
    <w:rsid w:val="00986B55"/>
    <w:rsid w:val="00986DBC"/>
    <w:rsid w:val="00994F6D"/>
    <w:rsid w:val="009B2F33"/>
    <w:rsid w:val="009B70EF"/>
    <w:rsid w:val="009C25D4"/>
    <w:rsid w:val="009C2A9B"/>
    <w:rsid w:val="00A11211"/>
    <w:rsid w:val="00A17F89"/>
    <w:rsid w:val="00A278E6"/>
    <w:rsid w:val="00A33CD3"/>
    <w:rsid w:val="00A51780"/>
    <w:rsid w:val="00A541D2"/>
    <w:rsid w:val="00A805C6"/>
    <w:rsid w:val="00A91EE8"/>
    <w:rsid w:val="00A92A1C"/>
    <w:rsid w:val="00AA2C54"/>
    <w:rsid w:val="00AA5C9E"/>
    <w:rsid w:val="00AA761C"/>
    <w:rsid w:val="00AC06CD"/>
    <w:rsid w:val="00AD5EA5"/>
    <w:rsid w:val="00AE38A3"/>
    <w:rsid w:val="00AE60A3"/>
    <w:rsid w:val="00AF2D80"/>
    <w:rsid w:val="00B004A2"/>
    <w:rsid w:val="00B46D72"/>
    <w:rsid w:val="00B55072"/>
    <w:rsid w:val="00B602BE"/>
    <w:rsid w:val="00B60555"/>
    <w:rsid w:val="00B636B9"/>
    <w:rsid w:val="00B67213"/>
    <w:rsid w:val="00B82E2F"/>
    <w:rsid w:val="00B86BBB"/>
    <w:rsid w:val="00B91ACD"/>
    <w:rsid w:val="00B9568E"/>
    <w:rsid w:val="00B96DAE"/>
    <w:rsid w:val="00BA4FAB"/>
    <w:rsid w:val="00BA5B71"/>
    <w:rsid w:val="00BA78D4"/>
    <w:rsid w:val="00BB58CF"/>
    <w:rsid w:val="00BD0595"/>
    <w:rsid w:val="00BD4A8A"/>
    <w:rsid w:val="00BD7170"/>
    <w:rsid w:val="00BD75EE"/>
    <w:rsid w:val="00BE00A5"/>
    <w:rsid w:val="00BE1E4B"/>
    <w:rsid w:val="00BE3008"/>
    <w:rsid w:val="00C0332A"/>
    <w:rsid w:val="00C06AFC"/>
    <w:rsid w:val="00C13427"/>
    <w:rsid w:val="00C30E8F"/>
    <w:rsid w:val="00C34CAB"/>
    <w:rsid w:val="00C40352"/>
    <w:rsid w:val="00C648C2"/>
    <w:rsid w:val="00C659F4"/>
    <w:rsid w:val="00C7129F"/>
    <w:rsid w:val="00C81DF4"/>
    <w:rsid w:val="00C87501"/>
    <w:rsid w:val="00C90FC0"/>
    <w:rsid w:val="00C945DD"/>
    <w:rsid w:val="00CA1A8D"/>
    <w:rsid w:val="00CA6BDB"/>
    <w:rsid w:val="00CB00B3"/>
    <w:rsid w:val="00CF2E78"/>
    <w:rsid w:val="00D03580"/>
    <w:rsid w:val="00D07A01"/>
    <w:rsid w:val="00D1285D"/>
    <w:rsid w:val="00D2268C"/>
    <w:rsid w:val="00D27A03"/>
    <w:rsid w:val="00D33D10"/>
    <w:rsid w:val="00D36638"/>
    <w:rsid w:val="00D367F6"/>
    <w:rsid w:val="00D424AA"/>
    <w:rsid w:val="00D724AA"/>
    <w:rsid w:val="00D94721"/>
    <w:rsid w:val="00DC51A6"/>
    <w:rsid w:val="00DD46E5"/>
    <w:rsid w:val="00DD4E75"/>
    <w:rsid w:val="00DE1831"/>
    <w:rsid w:val="00DE3473"/>
    <w:rsid w:val="00DE4181"/>
    <w:rsid w:val="00DE7BCF"/>
    <w:rsid w:val="00DF1FEC"/>
    <w:rsid w:val="00DF42D7"/>
    <w:rsid w:val="00DF7D3C"/>
    <w:rsid w:val="00E11C12"/>
    <w:rsid w:val="00E23FA5"/>
    <w:rsid w:val="00E30C7B"/>
    <w:rsid w:val="00E41909"/>
    <w:rsid w:val="00E5375A"/>
    <w:rsid w:val="00E56FD5"/>
    <w:rsid w:val="00E61C37"/>
    <w:rsid w:val="00E66071"/>
    <w:rsid w:val="00E70FF6"/>
    <w:rsid w:val="00E87951"/>
    <w:rsid w:val="00EA1A66"/>
    <w:rsid w:val="00EB1818"/>
    <w:rsid w:val="00EB4533"/>
    <w:rsid w:val="00EC0BD9"/>
    <w:rsid w:val="00ED6C8F"/>
    <w:rsid w:val="00EE18E8"/>
    <w:rsid w:val="00EF24CE"/>
    <w:rsid w:val="00EF3288"/>
    <w:rsid w:val="00EF4729"/>
    <w:rsid w:val="00EF6ED0"/>
    <w:rsid w:val="00F03D1F"/>
    <w:rsid w:val="00F114FD"/>
    <w:rsid w:val="00F12B5E"/>
    <w:rsid w:val="00F320A2"/>
    <w:rsid w:val="00F3338A"/>
    <w:rsid w:val="00F3371C"/>
    <w:rsid w:val="00F43BB1"/>
    <w:rsid w:val="00F5008A"/>
    <w:rsid w:val="00F5121E"/>
    <w:rsid w:val="00F5436A"/>
    <w:rsid w:val="00F5785F"/>
    <w:rsid w:val="00F63D8D"/>
    <w:rsid w:val="00F7435B"/>
    <w:rsid w:val="00F76F2A"/>
    <w:rsid w:val="00FA0BF0"/>
    <w:rsid w:val="00FA0D60"/>
    <w:rsid w:val="00FA5C46"/>
    <w:rsid w:val="00FD454C"/>
    <w:rsid w:val="00FD6B15"/>
    <w:rsid w:val="00FE342E"/>
    <w:rsid w:val="00FF17C9"/>
    <w:rsid w:val="00FF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57BE2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D10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3338A"/>
    <w:pPr>
      <w:keepNext/>
      <w:keepLines/>
      <w:numPr>
        <w:numId w:val="12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 w:after="12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E1545"/>
    <w:pPr>
      <w:keepNext/>
      <w:keepLines/>
      <w:numPr>
        <w:ilvl w:val="1"/>
        <w:numId w:val="12"/>
      </w:numPr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2"/>
      </w:numPr>
      <w:spacing w:before="40"/>
      <w:outlineLvl w:val="2"/>
    </w:pPr>
    <w:rPr>
      <w:rFonts w:eastAsiaTheme="majorEastAsia" w:cstheme="majorBidi"/>
      <w:color w:val="00B050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2"/>
      </w:numPr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2"/>
      </w:numPr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2"/>
      </w:numPr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338A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Paragraphedeliste">
    <w:name w:val="List Paragraph"/>
    <w:basedOn w:val="Normal"/>
    <w:uiPriority w:val="34"/>
    <w:qFormat/>
    <w:rsid w:val="00096F56"/>
    <w:pPr>
      <w:numPr>
        <w:numId w:val="0"/>
      </w:numPr>
      <w:spacing w:line="300" w:lineRule="auto"/>
      <w:ind w:left="720"/>
      <w:contextualSpacing/>
      <w:jc w:val="both"/>
    </w:pPr>
    <w:rPr>
      <w:rFonts w:ascii="Leelawadee" w:hAnsi="Leelawadee"/>
      <w:sz w:val="19"/>
    </w:rPr>
  </w:style>
  <w:style w:type="paragraph" w:customStyle="1" w:styleId="Notedemarge">
    <w:name w:val="Note de marge"/>
    <w:basedOn w:val="Normal"/>
    <w:qFormat/>
    <w:rsid w:val="00096F56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Leelawadee" w:hAnsi="Leelawadee"/>
      <w:b/>
      <w:color w:val="000000"/>
      <w:sz w:val="16"/>
      <w14:textFill>
        <w14:solidFill>
          <w14:srgbClr w14:val="000000">
            <w14:lumMod w14:val="50000"/>
          </w14:srgbClr>
        </w14:solidFill>
      </w14:textFill>
    </w:rPr>
  </w:style>
  <w:style w:type="paragraph" w:styleId="TM1">
    <w:name w:val="toc 1"/>
    <w:basedOn w:val="Normal"/>
    <w:next w:val="Normal"/>
    <w:autoRedefine/>
    <w:uiPriority w:val="39"/>
    <w:unhideWhenUsed/>
    <w:rsid w:val="00DD46E5"/>
    <w:pPr>
      <w:tabs>
        <w:tab w:val="right" w:leader="dot" w:pos="6963"/>
      </w:tabs>
      <w:spacing w:after="100"/>
      <w:ind w:left="0"/>
    </w:pPr>
    <w:rPr>
      <w:rFonts w:cs="Times New Roman"/>
      <w:noProof/>
      <w:color w:val="FF0000"/>
    </w:rPr>
  </w:style>
  <w:style w:type="paragraph" w:styleId="TM2">
    <w:name w:val="toc 2"/>
    <w:basedOn w:val="Normal"/>
    <w:next w:val="Normal"/>
    <w:autoRedefine/>
    <w:uiPriority w:val="39"/>
    <w:unhideWhenUsed/>
    <w:rsid w:val="002D0A52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2D0A52"/>
    <w:pPr>
      <w:spacing w:after="100"/>
      <w:ind w:left="400"/>
    </w:pPr>
  </w:style>
  <w:style w:type="character" w:styleId="Lienhypertexte">
    <w:name w:val="Hyperlink"/>
    <w:basedOn w:val="Policepardfaut"/>
    <w:uiPriority w:val="99"/>
    <w:unhideWhenUsed/>
    <w:rsid w:val="002D0A52"/>
    <w:rPr>
      <w:color w:val="0563C1" w:themeColor="hyperlink"/>
      <w:u w:val="single"/>
    </w:rPr>
  </w:style>
  <w:style w:type="paragraph" w:styleId="TM4">
    <w:name w:val="toc 4"/>
    <w:basedOn w:val="Normal"/>
    <w:next w:val="Normal"/>
    <w:autoRedefine/>
    <w:uiPriority w:val="39"/>
    <w:unhideWhenUsed/>
    <w:rsid w:val="002D0A52"/>
    <w:pPr>
      <w:spacing w:after="100"/>
      <w:ind w:left="60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65262C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fr-FR"/>
    </w:rPr>
  </w:style>
  <w:style w:type="table" w:styleId="Grilledutableau">
    <w:name w:val="Table Grid"/>
    <w:basedOn w:val="TableauNormal"/>
    <w:uiPriority w:val="39"/>
    <w:rsid w:val="00DF4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uces">
    <w:name w:val="List Bullet"/>
    <w:basedOn w:val="Normal"/>
    <w:uiPriority w:val="99"/>
    <w:unhideWhenUsed/>
    <w:rsid w:val="00873295"/>
    <w:pPr>
      <w:numPr>
        <w:numId w:val="13"/>
      </w:numPr>
      <w:contextualSpacing/>
    </w:pPr>
  </w:style>
  <w:style w:type="paragraph" w:styleId="Date">
    <w:name w:val="Date"/>
    <w:basedOn w:val="Normal"/>
    <w:next w:val="Normal"/>
    <w:link w:val="DateCar"/>
    <w:uiPriority w:val="99"/>
    <w:semiHidden/>
    <w:unhideWhenUsed/>
    <w:rsid w:val="000B5FF5"/>
  </w:style>
  <w:style w:type="character" w:customStyle="1" w:styleId="DateCar">
    <w:name w:val="Date Car"/>
    <w:basedOn w:val="Policepardfaut"/>
    <w:link w:val="Date"/>
    <w:uiPriority w:val="99"/>
    <w:semiHidden/>
    <w:rsid w:val="000B5FF5"/>
    <w:rPr>
      <w:rFonts w:ascii="Times New Roman" w:hAnsi="Times New Roman"/>
      <w:sz w:val="20"/>
    </w:rPr>
  </w:style>
  <w:style w:type="paragraph" w:styleId="TM5">
    <w:name w:val="toc 5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table" w:styleId="Grilledetableauclaire">
    <w:name w:val="Grid Table Light"/>
    <w:basedOn w:val="TableauNormal"/>
    <w:uiPriority w:val="40"/>
    <w:rsid w:val="004542E8"/>
    <w:pPr>
      <w:spacing w:after="0" w:line="240" w:lineRule="auto"/>
      <w:ind w:left="284" w:firstLine="284"/>
      <w:jc w:val="both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FF36E-18E2-421A-B292-05760B1A9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1682</TotalTime>
  <Pages>3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198</cp:revision>
  <cp:lastPrinted>2025-06-03T10:29:00Z</cp:lastPrinted>
  <dcterms:created xsi:type="dcterms:W3CDTF">2025-03-30T11:16:00Z</dcterms:created>
  <dcterms:modified xsi:type="dcterms:W3CDTF">2025-09-24T13:42:00Z</dcterms:modified>
</cp:coreProperties>
</file>