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CF25" w14:textId="77777777" w:rsidR="00542309" w:rsidRPr="00D33D10" w:rsidRDefault="00542309" w:rsidP="00542309">
      <w:pPr>
        <w:pStyle w:val="Titre1"/>
        <w:rPr>
          <w:rFonts w:cs="Times New Roman"/>
        </w:rPr>
      </w:pPr>
      <w:bookmarkStart w:id="0" w:name="_Toc199845275"/>
      <w:r w:rsidRPr="00D33D10">
        <w:rPr>
          <w:rFonts w:cs="Times New Roman"/>
        </w:rPr>
        <w:t>Lèpre</w:t>
      </w:r>
      <w:bookmarkEnd w:id="0"/>
    </w:p>
    <w:p w14:paraId="70EE7DD4" w14:textId="77777777" w:rsidR="00542309" w:rsidRPr="00D33D10" w:rsidRDefault="00542309" w:rsidP="00542309">
      <w:pPr>
        <w:pStyle w:val="Sous-titre"/>
        <w:rPr>
          <w:rFonts w:cs="Times New Roman"/>
        </w:rPr>
      </w:pPr>
      <w:r w:rsidRPr="00D33D10">
        <w:rPr>
          <w:rFonts w:cs="Times New Roman"/>
        </w:rPr>
        <w:t>Introduction</w:t>
      </w:r>
    </w:p>
    <w:p w14:paraId="085E217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Infection bactérienne : </w:t>
      </w:r>
      <w:r w:rsidRPr="00D33D10">
        <w:rPr>
          <w:rFonts w:cs="Times New Roman"/>
          <w:i/>
        </w:rPr>
        <w:t>mycobactérieum leprae</w:t>
      </w:r>
      <w:r w:rsidRPr="00D33D10">
        <w:rPr>
          <w:rFonts w:cs="Times New Roman"/>
        </w:rPr>
        <w:t xml:space="preserve"> (famille BAAR)</w:t>
      </w:r>
    </w:p>
    <w:p w14:paraId="1E37421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Touché la peau, muqueuse et nerf</w:t>
      </w:r>
    </w:p>
    <w:p w14:paraId="48EEBD4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Pathologie à différente forme clinique selon l’état immunitaire du patient </w:t>
      </w:r>
    </w:p>
    <w:p w14:paraId="09E10A1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1700 cas de nouveau par an en 2021</w:t>
      </w:r>
    </w:p>
    <w:p w14:paraId="194DDDE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Dont 75 des enfants, 221 présente des invalidités des handicaps : incapacité</w:t>
      </w:r>
    </w:p>
    <w:p w14:paraId="5B46481F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Maladie transmissible</w:t>
      </w:r>
    </w:p>
    <w:p w14:paraId="3249B45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Complication : réaction lépreuse et handicap par mutilation </w:t>
      </w:r>
    </w:p>
    <w:p w14:paraId="50992B3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Deux classifications de la lèpre</w:t>
      </w:r>
    </w:p>
    <w:p w14:paraId="1F1C28F0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Selon OMS : </w:t>
      </w:r>
    </w:p>
    <w:p w14:paraId="165B4300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Trois paramètres </w:t>
      </w:r>
    </w:p>
    <w:p w14:paraId="4626193D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Selon le nombre des tâches</w:t>
      </w:r>
    </w:p>
    <w:p w14:paraId="3EA30284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Inf. 5 lésions : pauci bacillaire</w:t>
      </w:r>
    </w:p>
    <w:p w14:paraId="0EA45520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Plus de 5 lésions : multi bacillaire </w:t>
      </w:r>
    </w:p>
    <w:p w14:paraId="516277ED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Selon les nombres de nerfs atteint</w:t>
      </w:r>
    </w:p>
    <w:p w14:paraId="499FADFE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1 seul nerf atteint : pauci bacillaire </w:t>
      </w:r>
    </w:p>
    <w:p w14:paraId="0DE2BC86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Sup. 1 : multi bacillaire </w:t>
      </w:r>
    </w:p>
    <w:p w14:paraId="4E670C96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Résultat de bacilloscopie </w:t>
      </w:r>
    </w:p>
    <w:p w14:paraId="625AC143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Négatif : pauci bacillaire </w:t>
      </w:r>
    </w:p>
    <w:p w14:paraId="4EB52153" w14:textId="77777777" w:rsidR="00542309" w:rsidRPr="00D33D10" w:rsidRDefault="00542309" w:rsidP="00542309">
      <w:pPr>
        <w:numPr>
          <w:ilvl w:val="4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Positif : multi bacillaire </w:t>
      </w:r>
    </w:p>
    <w:p w14:paraId="15CC3BE8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classification</w:t>
      </w:r>
      <w:proofErr w:type="gramEnd"/>
      <w:r w:rsidRPr="00D33D10">
        <w:rPr>
          <w:rFonts w:cs="Times New Roman"/>
        </w:rPr>
        <w:t xml:space="preserve"> de Ridley Joplin (de plus grave au moins grave)</w:t>
      </w:r>
    </w:p>
    <w:p w14:paraId="5722E316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forme</w:t>
      </w:r>
      <w:proofErr w:type="gramEnd"/>
      <w:r w:rsidRPr="00D33D10">
        <w:rPr>
          <w:rFonts w:cs="Times New Roman"/>
        </w:rPr>
        <w:t xml:space="preserve"> grave : forme lépromateuse</w:t>
      </w:r>
    </w:p>
    <w:p w14:paraId="706E987C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la</w:t>
      </w:r>
      <w:proofErr w:type="gramEnd"/>
      <w:r w:rsidRPr="00D33D10">
        <w:rPr>
          <w:rFonts w:cs="Times New Roman"/>
        </w:rPr>
        <w:t xml:space="preserve"> forme intermédiaire : forme borderline </w:t>
      </w:r>
    </w:p>
    <w:p w14:paraId="5DDCB08D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tendance</w:t>
      </w:r>
      <w:proofErr w:type="gramEnd"/>
      <w:r w:rsidRPr="00D33D10">
        <w:rPr>
          <w:rFonts w:cs="Times New Roman"/>
        </w:rPr>
        <w:t xml:space="preserve"> tuberculoïde : tuberculoïde borderline </w:t>
      </w:r>
    </w:p>
    <w:p w14:paraId="766DF373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tendance</w:t>
      </w:r>
      <w:proofErr w:type="gramEnd"/>
      <w:r w:rsidRPr="00D33D10">
        <w:rPr>
          <w:rFonts w:cs="Times New Roman"/>
        </w:rPr>
        <w:t xml:space="preserve"> borderline : borderline borderline </w:t>
      </w:r>
    </w:p>
    <w:p w14:paraId="732187FF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tendance</w:t>
      </w:r>
      <w:proofErr w:type="gramEnd"/>
      <w:r w:rsidRPr="00D33D10">
        <w:rPr>
          <w:rFonts w:cs="Times New Roman"/>
        </w:rPr>
        <w:t xml:space="preserve"> lépromateux : borderline lépromateux </w:t>
      </w:r>
    </w:p>
    <w:p w14:paraId="686B4057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forme</w:t>
      </w:r>
      <w:proofErr w:type="gramEnd"/>
      <w:r w:rsidRPr="00D33D10">
        <w:rPr>
          <w:rFonts w:cs="Times New Roman"/>
        </w:rPr>
        <w:t xml:space="preserve"> moins grave : forme tuberculoïde</w:t>
      </w:r>
    </w:p>
    <w:p w14:paraId="75902970" w14:textId="77777777" w:rsidR="00542309" w:rsidRPr="00D33D10" w:rsidRDefault="00542309" w:rsidP="00542309">
      <w:pPr>
        <w:pStyle w:val="Titre2"/>
        <w:rPr>
          <w:rFonts w:cs="Times New Roman"/>
        </w:rPr>
      </w:pPr>
      <w:bookmarkStart w:id="1" w:name="_Toc199845276"/>
      <w:r w:rsidRPr="00D33D10">
        <w:rPr>
          <w:rFonts w:cs="Times New Roman"/>
        </w:rPr>
        <w:t>Singes</w:t>
      </w:r>
      <w:bookmarkEnd w:id="1"/>
    </w:p>
    <w:p w14:paraId="369293BE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2" w:name="_Toc199845277"/>
      <w:r w:rsidRPr="00D33D10">
        <w:rPr>
          <w:rFonts w:cs="Times New Roman"/>
        </w:rPr>
        <w:t>Forme lépromateuse</w:t>
      </w:r>
      <w:bookmarkEnd w:id="2"/>
    </w:p>
    <w:p w14:paraId="303AA2C9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Atteinte cutanée</w:t>
      </w:r>
    </w:p>
    <w:p w14:paraId="5483CCC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macule</w:t>
      </w:r>
      <w:proofErr w:type="gramEnd"/>
      <w:r w:rsidRPr="00D33D10">
        <w:rPr>
          <w:rFonts w:cs="Times New Roman"/>
        </w:rPr>
        <w:t xml:space="preserve"> </w:t>
      </w:r>
    </w:p>
    <w:p w14:paraId="5F543E11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blanche</w:t>
      </w:r>
      <w:proofErr w:type="gramEnd"/>
      <w:r w:rsidRPr="00D33D10">
        <w:rPr>
          <w:rFonts w:cs="Times New Roman"/>
        </w:rPr>
        <w:t>, cuivré</w:t>
      </w:r>
    </w:p>
    <w:p w14:paraId="3DDE0677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léprome</w:t>
      </w:r>
      <w:proofErr w:type="gramEnd"/>
      <w:r w:rsidRPr="00D33D10">
        <w:rPr>
          <w:rFonts w:cs="Times New Roman"/>
        </w:rPr>
        <w:t xml:space="preserve"> </w:t>
      </w:r>
    </w:p>
    <w:p w14:paraId="09AAD97A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nodule</w:t>
      </w:r>
      <w:proofErr w:type="gramEnd"/>
      <w:r w:rsidRPr="00D33D10">
        <w:rPr>
          <w:rFonts w:cs="Times New Roman"/>
        </w:rPr>
        <w:t xml:space="preserve"> ou papulo-nodulaire : à 0,5 : </w:t>
      </w:r>
    </w:p>
    <w:p w14:paraId="7A65D36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lésion</w:t>
      </w:r>
      <w:proofErr w:type="gramEnd"/>
      <w:r w:rsidRPr="00D33D10">
        <w:rPr>
          <w:rFonts w:cs="Times New Roman"/>
        </w:rPr>
        <w:t xml:space="preserve"> maculeuse annulaire :</w:t>
      </w:r>
    </w:p>
    <w:p w14:paraId="2F6C8F42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lastRenderedPageBreak/>
        <w:t>macule</w:t>
      </w:r>
      <w:proofErr w:type="gramEnd"/>
      <w:r w:rsidRPr="00D33D10">
        <w:rPr>
          <w:rFonts w:cs="Times New Roman"/>
        </w:rPr>
        <w:t xml:space="preserve"> érythémateux au milieu et nodule en périphérie </w:t>
      </w:r>
    </w:p>
    <w:p w14:paraId="72C0934B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l’association</w:t>
      </w:r>
      <w:proofErr w:type="gramEnd"/>
      <w:r w:rsidRPr="00D33D10">
        <w:rPr>
          <w:rFonts w:cs="Times New Roman"/>
        </w:rPr>
        <w:t xml:space="preserve"> de nodule : confluence de 20 lésions ; symétrique, bilatérale, </w:t>
      </w:r>
    </w:p>
    <w:p w14:paraId="60DF868D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bout</w:t>
      </w:r>
      <w:proofErr w:type="gramEnd"/>
      <w:r w:rsidRPr="00D33D10">
        <w:rPr>
          <w:rFonts w:cs="Times New Roman"/>
        </w:rPr>
        <w:t xml:space="preserve"> du nez et oreille : faciès léonin </w:t>
      </w:r>
    </w:p>
    <w:p w14:paraId="7A39B50C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Atteinte neurologique </w:t>
      </w:r>
    </w:p>
    <w:p w14:paraId="12E387C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tous</w:t>
      </w:r>
      <w:proofErr w:type="gramEnd"/>
      <w:r w:rsidRPr="00D33D10">
        <w:rPr>
          <w:rFonts w:cs="Times New Roman"/>
        </w:rPr>
        <w:t xml:space="preserve"> les nerfs périphériques superficiels</w:t>
      </w:r>
    </w:p>
    <w:p w14:paraId="3DDD491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hypertrophie</w:t>
      </w:r>
      <w:proofErr w:type="gramEnd"/>
      <w:r w:rsidRPr="00D33D10">
        <w:rPr>
          <w:rFonts w:cs="Times New Roman"/>
        </w:rPr>
        <w:t xml:space="preserve"> nerveuse (tuméfaction)</w:t>
      </w:r>
    </w:p>
    <w:p w14:paraId="6D49E91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douleur</w:t>
      </w:r>
      <w:proofErr w:type="gramEnd"/>
      <w:r w:rsidRPr="00D33D10">
        <w:rPr>
          <w:rFonts w:cs="Times New Roman"/>
        </w:rPr>
        <w:t xml:space="preserve"> nerveuse à type de décharge électrique à la palpation </w:t>
      </w:r>
    </w:p>
    <w:p w14:paraId="4780339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atteinte</w:t>
      </w:r>
      <w:proofErr w:type="gramEnd"/>
      <w:r w:rsidRPr="00D33D10">
        <w:rPr>
          <w:rFonts w:cs="Times New Roman"/>
        </w:rPr>
        <w:t xml:space="preserve"> senstivo-sensorielle : fourmillement, paresthésie, anesthésie</w:t>
      </w:r>
    </w:p>
    <w:p w14:paraId="1C47AA5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dans</w:t>
      </w:r>
      <w:proofErr w:type="gramEnd"/>
      <w:r w:rsidRPr="00D33D10">
        <w:rPr>
          <w:rFonts w:cs="Times New Roman"/>
        </w:rPr>
        <w:t xml:space="preserve"> la phase très avancé : mal perforant : ulcération chronique sans cicatrisation et le patient ne sent pas</w:t>
      </w:r>
    </w:p>
    <w:p w14:paraId="045E322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trouble</w:t>
      </w:r>
      <w:proofErr w:type="gramEnd"/>
      <w:r w:rsidRPr="00D33D10">
        <w:rPr>
          <w:rFonts w:cs="Times New Roman"/>
        </w:rPr>
        <w:t xml:space="preserve"> moteur, paralysie, amyotrophie : muscle palmaire, thénarienne, aspect de mains (doigts) en griffe (griffe cubitale, main de singe)</w:t>
      </w:r>
    </w:p>
    <w:p w14:paraId="2CB5FF1F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steppage</w:t>
      </w:r>
      <w:proofErr w:type="gramEnd"/>
      <w:r w:rsidRPr="00D33D10">
        <w:rPr>
          <w:rFonts w:cs="Times New Roman"/>
        </w:rPr>
        <w:t xml:space="preserve"> au niveau du pied </w:t>
      </w:r>
    </w:p>
    <w:p w14:paraId="5D0907A6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examen</w:t>
      </w:r>
      <w:proofErr w:type="gramEnd"/>
      <w:r w:rsidRPr="00D33D10">
        <w:rPr>
          <w:rFonts w:cs="Times New Roman"/>
        </w:rPr>
        <w:t xml:space="preserve"> physique </w:t>
      </w:r>
    </w:p>
    <w:p w14:paraId="3E775EC5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altération</w:t>
      </w:r>
      <w:proofErr w:type="gramEnd"/>
      <w:r w:rsidRPr="00D33D10">
        <w:rPr>
          <w:rFonts w:cs="Times New Roman"/>
        </w:rPr>
        <w:t xml:space="preserve"> de l’état générale </w:t>
      </w:r>
    </w:p>
    <w:p w14:paraId="047B81E3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rhinite</w:t>
      </w:r>
      <w:proofErr w:type="gramEnd"/>
      <w:r w:rsidRPr="00D33D10">
        <w:rPr>
          <w:rFonts w:cs="Times New Roman"/>
        </w:rPr>
        <w:t xml:space="preserve"> (atteint muqueuse)</w:t>
      </w:r>
    </w:p>
    <w:p w14:paraId="11329E89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conjonctivite</w:t>
      </w:r>
      <w:proofErr w:type="gramEnd"/>
      <w:r w:rsidRPr="00D33D10">
        <w:rPr>
          <w:rFonts w:cs="Times New Roman"/>
        </w:rPr>
        <w:t xml:space="preserve"> (œil rouge</w:t>
      </w:r>
    </w:p>
    <w:p w14:paraId="5DF8A2AB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adénopathie</w:t>
      </w:r>
      <w:proofErr w:type="gramEnd"/>
      <w:r w:rsidRPr="00D33D10">
        <w:rPr>
          <w:rFonts w:cs="Times New Roman"/>
        </w:rPr>
        <w:t xml:space="preserve"> au micro infection (microtraumatisme)</w:t>
      </w:r>
    </w:p>
    <w:p w14:paraId="26855D1A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3" w:name="_Toc199845278"/>
      <w:r w:rsidRPr="00D33D10">
        <w:rPr>
          <w:rFonts w:cs="Times New Roman"/>
        </w:rPr>
        <w:t>Forme tuberculoïde</w:t>
      </w:r>
      <w:bookmarkEnd w:id="3"/>
      <w:r w:rsidRPr="00D33D10">
        <w:rPr>
          <w:rFonts w:cs="Times New Roman"/>
        </w:rPr>
        <w:t xml:space="preserve"> </w:t>
      </w:r>
    </w:p>
    <w:p w14:paraId="6551864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moins</w:t>
      </w:r>
      <w:proofErr w:type="gramEnd"/>
      <w:r w:rsidRPr="00D33D10">
        <w:rPr>
          <w:rFonts w:cs="Times New Roman"/>
        </w:rPr>
        <w:t xml:space="preserve"> de 5 lésions </w:t>
      </w:r>
    </w:p>
    <w:p w14:paraId="03988DB0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de</w:t>
      </w:r>
      <w:proofErr w:type="gramEnd"/>
      <w:r w:rsidRPr="00D33D10">
        <w:rPr>
          <w:rFonts w:cs="Times New Roman"/>
        </w:rPr>
        <w:t xml:space="preserve"> grandes tailles</w:t>
      </w:r>
    </w:p>
    <w:p w14:paraId="0E80482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asymétrique</w:t>
      </w:r>
      <w:proofErr w:type="gramEnd"/>
      <w:r w:rsidRPr="00D33D10">
        <w:rPr>
          <w:rFonts w:cs="Times New Roman"/>
        </w:rPr>
        <w:t xml:space="preserve"> (dos, fesse) </w:t>
      </w:r>
    </w:p>
    <w:p w14:paraId="6A5C778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hypoesthésie</w:t>
      </w:r>
      <w:proofErr w:type="gramEnd"/>
      <w:r w:rsidRPr="00D33D10">
        <w:rPr>
          <w:rFonts w:cs="Times New Roman"/>
        </w:rPr>
        <w:t xml:space="preserve"> </w:t>
      </w:r>
    </w:p>
    <w:p w14:paraId="78633A5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peut</w:t>
      </w:r>
      <w:proofErr w:type="gramEnd"/>
      <w:r w:rsidRPr="00D33D10">
        <w:rPr>
          <w:rFonts w:cs="Times New Roman"/>
        </w:rPr>
        <w:t xml:space="preserve"> guérir spontanément ou évolution vers l’état borderline tuberculoïde (2 -10 lésions avec macule, lésion annulaire, hypo anesthésique, avec atteinte nerveuse) </w:t>
      </w:r>
    </w:p>
    <w:p w14:paraId="11C1AE1E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4" w:name="_Toc199845279"/>
      <w:r w:rsidRPr="00D33D10">
        <w:rPr>
          <w:rFonts w:cs="Times New Roman"/>
        </w:rPr>
        <w:t>Forme borderline borderline</w:t>
      </w:r>
      <w:bookmarkEnd w:id="4"/>
      <w:r w:rsidRPr="00D33D10">
        <w:rPr>
          <w:rFonts w:cs="Times New Roman"/>
        </w:rPr>
        <w:t xml:space="preserve"> </w:t>
      </w:r>
    </w:p>
    <w:p w14:paraId="4E416347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lésion</w:t>
      </w:r>
      <w:proofErr w:type="gramEnd"/>
      <w:r w:rsidRPr="00D33D10">
        <w:rPr>
          <w:rFonts w:cs="Times New Roman"/>
        </w:rPr>
        <w:t xml:space="preserve"> cutanée annulaire, 5 -10 cm</w:t>
      </w:r>
    </w:p>
    <w:p w14:paraId="3D8A8557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associe</w:t>
      </w:r>
      <w:proofErr w:type="gramEnd"/>
      <w:r w:rsidRPr="00D33D10">
        <w:rPr>
          <w:rFonts w:cs="Times New Roman"/>
        </w:rPr>
        <w:t xml:space="preserve"> à une névrite hyperalgique </w:t>
      </w:r>
    </w:p>
    <w:p w14:paraId="062A3FB0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5" w:name="_Toc199845280"/>
      <w:r w:rsidRPr="00D33D10">
        <w:rPr>
          <w:rFonts w:cs="Times New Roman"/>
        </w:rPr>
        <w:t>Forme borderline lépromateuse</w:t>
      </w:r>
      <w:bookmarkEnd w:id="5"/>
    </w:p>
    <w:p w14:paraId="1DD9F7B0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toutes</w:t>
      </w:r>
      <w:proofErr w:type="gramEnd"/>
      <w:r w:rsidRPr="00D33D10">
        <w:rPr>
          <w:rFonts w:cs="Times New Roman"/>
        </w:rPr>
        <w:t xml:space="preserve"> lésions cutanées,</w:t>
      </w:r>
    </w:p>
    <w:p w14:paraId="4DFFEFFB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normoésthésique</w:t>
      </w:r>
      <w:proofErr w:type="gramEnd"/>
      <w:r w:rsidRPr="00D33D10">
        <w:rPr>
          <w:rFonts w:cs="Times New Roman"/>
        </w:rPr>
        <w:t xml:space="preserve"> avec atteinte de nerfs</w:t>
      </w:r>
    </w:p>
    <w:p w14:paraId="6EA6503D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6" w:name="_Toc199845281"/>
      <w:r w:rsidRPr="00D33D10">
        <w:rPr>
          <w:rFonts w:cs="Times New Roman"/>
        </w:rPr>
        <w:t>La lèpre nerveuse pure</w:t>
      </w:r>
      <w:bookmarkEnd w:id="6"/>
    </w:p>
    <w:p w14:paraId="7D612F1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aucune</w:t>
      </w:r>
      <w:proofErr w:type="gramEnd"/>
      <w:r w:rsidRPr="00D33D10">
        <w:rPr>
          <w:rFonts w:cs="Times New Roman"/>
        </w:rPr>
        <w:t xml:space="preserve"> lésion cutanée</w:t>
      </w:r>
    </w:p>
    <w:p w14:paraId="14596E96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hypotrophie</w:t>
      </w:r>
      <w:proofErr w:type="gramEnd"/>
      <w:r w:rsidRPr="00D33D10">
        <w:rPr>
          <w:rFonts w:cs="Times New Roman"/>
        </w:rPr>
        <w:t xml:space="preserve"> thénarien, </w:t>
      </w:r>
    </w:p>
    <w:p w14:paraId="45F43E7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hypertrophie</w:t>
      </w:r>
      <w:proofErr w:type="gramEnd"/>
      <w:r w:rsidRPr="00D33D10">
        <w:rPr>
          <w:rFonts w:cs="Times New Roman"/>
        </w:rPr>
        <w:t xml:space="preserve"> nerveuse </w:t>
      </w:r>
    </w:p>
    <w:p w14:paraId="460E44F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confirmation</w:t>
      </w:r>
      <w:proofErr w:type="gramEnd"/>
      <w:r w:rsidRPr="00D33D10">
        <w:rPr>
          <w:rFonts w:cs="Times New Roman"/>
        </w:rPr>
        <w:t xml:space="preserve"> par PCR</w:t>
      </w:r>
    </w:p>
    <w:p w14:paraId="2C794FE4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7" w:name="_Toc199845282"/>
      <w:r w:rsidRPr="00D33D10">
        <w:rPr>
          <w:rFonts w:cs="Times New Roman"/>
        </w:rPr>
        <w:lastRenderedPageBreak/>
        <w:t>Formes grave</w:t>
      </w:r>
      <w:bookmarkEnd w:id="7"/>
      <w:r w:rsidRPr="00D33D10">
        <w:rPr>
          <w:rFonts w:cs="Times New Roman"/>
        </w:rPr>
        <w:t xml:space="preserve"> </w:t>
      </w:r>
    </w:p>
    <w:p w14:paraId="44FA9739" w14:textId="77777777" w:rsidR="00542309" w:rsidRPr="00D33D10" w:rsidRDefault="00542309" w:rsidP="00542309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Les réactions lépreuse</w:t>
      </w:r>
      <w:proofErr w:type="gramEnd"/>
      <w:r w:rsidRPr="00D33D10">
        <w:rPr>
          <w:rFonts w:cs="Times New Roman"/>
        </w:rPr>
        <w:t xml:space="preserve"> </w:t>
      </w:r>
    </w:p>
    <w:p w14:paraId="5C8844C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après</w:t>
      </w:r>
      <w:proofErr w:type="gramEnd"/>
      <w:r w:rsidRPr="00D33D10">
        <w:rPr>
          <w:rFonts w:cs="Times New Roman"/>
        </w:rPr>
        <w:t xml:space="preserve"> la mort de bactéries, il reste le super antigène : induction de réaction inflammatoire : réaction lépreux</w:t>
      </w:r>
    </w:p>
    <w:p w14:paraId="72C3E67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complication</w:t>
      </w:r>
      <w:proofErr w:type="gramEnd"/>
      <w:r w:rsidRPr="00D33D10">
        <w:rPr>
          <w:rFonts w:cs="Times New Roman"/>
        </w:rPr>
        <w:t xml:space="preserve"> immunologique </w:t>
      </w:r>
    </w:p>
    <w:p w14:paraId="606DC22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apparait</w:t>
      </w:r>
      <w:proofErr w:type="gramEnd"/>
      <w:r w:rsidRPr="00D33D10">
        <w:rPr>
          <w:rFonts w:cs="Times New Roman"/>
        </w:rPr>
        <w:t xml:space="preserve"> spontanément pendant, après le traitement de la lèpre</w:t>
      </w:r>
    </w:p>
    <w:p w14:paraId="6DBDC79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réaction</w:t>
      </w:r>
      <w:proofErr w:type="gramEnd"/>
      <w:r w:rsidRPr="00D33D10">
        <w:rPr>
          <w:rFonts w:cs="Times New Roman"/>
        </w:rPr>
        <w:t xml:space="preserve"> de type 1 :</w:t>
      </w:r>
    </w:p>
    <w:p w14:paraId="249F47B2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réaction</w:t>
      </w:r>
      <w:proofErr w:type="gramEnd"/>
      <w:r w:rsidRPr="00D33D10">
        <w:rPr>
          <w:rFonts w:cs="Times New Roman"/>
        </w:rPr>
        <w:t xml:space="preserve"> de réversion </w:t>
      </w:r>
    </w:p>
    <w:p w14:paraId="0D8E4F1C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paraitre</w:t>
      </w:r>
      <w:proofErr w:type="gramEnd"/>
      <w:r w:rsidRPr="00D33D10">
        <w:rPr>
          <w:rFonts w:cs="Times New Roman"/>
        </w:rPr>
        <w:t xml:space="preserve"> pendant la phase BL, BB et BT</w:t>
      </w:r>
    </w:p>
    <w:p w14:paraId="277D97A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réaction</w:t>
      </w:r>
      <w:proofErr w:type="gramEnd"/>
      <w:r w:rsidRPr="00D33D10">
        <w:rPr>
          <w:rFonts w:cs="Times New Roman"/>
        </w:rPr>
        <w:t xml:space="preserve"> de type 2</w:t>
      </w:r>
    </w:p>
    <w:p w14:paraId="18308BA9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érythème</w:t>
      </w:r>
      <w:proofErr w:type="gramEnd"/>
      <w:r w:rsidRPr="00D33D10">
        <w:rPr>
          <w:rFonts w:cs="Times New Roman"/>
        </w:rPr>
        <w:t xml:space="preserve"> noueux lépreux </w:t>
      </w:r>
    </w:p>
    <w:p w14:paraId="196A94A2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principalement</w:t>
      </w:r>
      <w:proofErr w:type="gramEnd"/>
      <w:r w:rsidRPr="00D33D10">
        <w:rPr>
          <w:rFonts w:cs="Times New Roman"/>
        </w:rPr>
        <w:t xml:space="preserve"> la forme LL</w:t>
      </w:r>
    </w:p>
    <w:p w14:paraId="28D4D43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signes</w:t>
      </w:r>
      <w:proofErr w:type="gramEnd"/>
      <w:r w:rsidRPr="00D33D10">
        <w:rPr>
          <w:rFonts w:cs="Times New Roman"/>
        </w:rPr>
        <w:t xml:space="preserve"> </w:t>
      </w:r>
    </w:p>
    <w:p w14:paraId="07DDC86E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  <w:b/>
          <w:u w:val="single"/>
        </w:rPr>
      </w:pPr>
      <w:proofErr w:type="gramStart"/>
      <w:r w:rsidRPr="00D33D10">
        <w:rPr>
          <w:rFonts w:cs="Times New Roman"/>
          <w:b/>
          <w:u w:val="single"/>
        </w:rPr>
        <w:t>type</w:t>
      </w:r>
      <w:proofErr w:type="gramEnd"/>
      <w:r w:rsidRPr="00D33D10">
        <w:rPr>
          <w:rFonts w:cs="Times New Roman"/>
          <w:b/>
          <w:u w:val="single"/>
        </w:rPr>
        <w:t xml:space="preserve"> 1</w:t>
      </w:r>
    </w:p>
    <w:p w14:paraId="625EC8E6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poussé</w:t>
      </w:r>
      <w:proofErr w:type="gramEnd"/>
      <w:r w:rsidRPr="00D33D10">
        <w:rPr>
          <w:rFonts w:cs="Times New Roman"/>
        </w:rPr>
        <w:t xml:space="preserve"> inflammatoire de lésion de survenue brutale </w:t>
      </w:r>
    </w:p>
    <w:p w14:paraId="694E0E72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érythème</w:t>
      </w:r>
      <w:proofErr w:type="gramEnd"/>
      <w:r w:rsidRPr="00D33D10">
        <w:rPr>
          <w:rFonts w:cs="Times New Roman"/>
        </w:rPr>
        <w:t xml:space="preserve"> avec œdème desquamative avec névrite hypertrophique douloureuse (plusieurs nerfs touchés, jusqu’à un risque sensitivo-moteur total et définitif : visage, tronc</w:t>
      </w:r>
    </w:p>
    <w:p w14:paraId="728D2505" w14:textId="77777777" w:rsidR="00542309" w:rsidRPr="00D33D10" w:rsidRDefault="00542309" w:rsidP="00542309">
      <w:pPr>
        <w:numPr>
          <w:ilvl w:val="3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arthrite</w:t>
      </w:r>
      <w:proofErr w:type="gramEnd"/>
      <w:r w:rsidRPr="00D33D10">
        <w:rPr>
          <w:rFonts w:cs="Times New Roman"/>
        </w:rPr>
        <w:t>, tendinite, ténosynovite</w:t>
      </w:r>
    </w:p>
    <w:p w14:paraId="2BD22974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  <w:b/>
          <w:u w:val="single"/>
        </w:rPr>
      </w:pPr>
      <w:proofErr w:type="gramStart"/>
      <w:r w:rsidRPr="00D33D10">
        <w:rPr>
          <w:rFonts w:cs="Times New Roman"/>
          <w:b/>
          <w:u w:val="single"/>
        </w:rPr>
        <w:t>type</w:t>
      </w:r>
      <w:proofErr w:type="gramEnd"/>
      <w:r w:rsidRPr="00D33D10">
        <w:rPr>
          <w:rFonts w:cs="Times New Roman"/>
          <w:b/>
          <w:u w:val="single"/>
        </w:rPr>
        <w:t xml:space="preserve"> 2</w:t>
      </w:r>
      <w:r w:rsidRPr="00D33D10">
        <w:rPr>
          <w:rFonts w:cs="Times New Roman"/>
          <w:b/>
          <w:u w:val="single"/>
        </w:rPr>
        <w:tab/>
      </w:r>
    </w:p>
    <w:p w14:paraId="388D0BB3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Déclenche par une autre infection </w:t>
      </w:r>
    </w:p>
    <w:p w14:paraId="1606B396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Ou administration du traitement </w:t>
      </w:r>
    </w:p>
    <w:p w14:paraId="1A244801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Une altération générale de survenue brutale : myasthénie </w:t>
      </w:r>
    </w:p>
    <w:p w14:paraId="7CEAFEEA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de nodule hypodermique rouge chaud et douloureuse oz</w:t>
      </w:r>
    </w:p>
    <w:p w14:paraId="5E424BD2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exémateuse</w:t>
      </w:r>
      <w:proofErr w:type="gramEnd"/>
      <w:r w:rsidRPr="00D33D10">
        <w:rPr>
          <w:rFonts w:cs="Times New Roman"/>
        </w:rPr>
        <w:t xml:space="preserve"> de 1 – 3 cm : nouures </w:t>
      </w:r>
    </w:p>
    <w:p w14:paraId="30639806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Névrite : douloureuse, symétrique bilatérale, paresthésie </w:t>
      </w:r>
    </w:p>
    <w:p w14:paraId="77CBE4C2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Rarement de déficit sensitivo-moteur </w:t>
      </w:r>
    </w:p>
    <w:p w14:paraId="6413EAB9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Patient doit être hospitalisé (obligatoire)</w:t>
      </w:r>
    </w:p>
    <w:p w14:paraId="6B20ABF9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Polyadénopathie, douleur articulaire, kératite, orchite ou orchi-épididymite, ure réaction inflammatoire viscérale : glomérulonéphrite, amylose secondaire : évolution vers insuffisance rénale (protéinurie)</w:t>
      </w:r>
    </w:p>
    <w:p w14:paraId="5F725775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8" w:name="_Toc199845283"/>
      <w:r w:rsidRPr="00D33D10">
        <w:rPr>
          <w:rFonts w:cs="Times New Roman"/>
        </w:rPr>
        <w:t>Forme selon le terrain</w:t>
      </w:r>
      <w:bookmarkEnd w:id="8"/>
      <w:r w:rsidRPr="00D33D10">
        <w:rPr>
          <w:rFonts w:cs="Times New Roman"/>
        </w:rPr>
        <w:t xml:space="preserve"> </w:t>
      </w:r>
    </w:p>
    <w:p w14:paraId="409201D7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Deux terrains </w:t>
      </w:r>
    </w:p>
    <w:p w14:paraId="3C5D62E2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Chez l’enfant </w:t>
      </w:r>
    </w:p>
    <w:p w14:paraId="65A7406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Indique la transmission persistante dans la communauté (avec 10 de contamination continue)</w:t>
      </w:r>
    </w:p>
    <w:p w14:paraId="5C5EBA7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lastRenderedPageBreak/>
        <w:t>Forme intermédiaire (borderline)</w:t>
      </w:r>
    </w:p>
    <w:p w14:paraId="392505AF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Traiter les autres enfants de la famille (prise unique de streptomycine)</w:t>
      </w:r>
    </w:p>
    <w:p w14:paraId="5C57CDDC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Chez la femme enceinte </w:t>
      </w:r>
    </w:p>
    <w:p w14:paraId="2F814F1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Transmission in utéro </w:t>
      </w:r>
    </w:p>
    <w:p w14:paraId="0EC4A50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Et une grossesse peut aggraver la lèpre et peut entrainer une réaction lépreuse </w:t>
      </w:r>
    </w:p>
    <w:p w14:paraId="28FB34A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Chez le bébé</w:t>
      </w:r>
    </w:p>
    <w:p w14:paraId="481F352B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Faible poids à la naissance</w:t>
      </w:r>
    </w:p>
    <w:p w14:paraId="7047984C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Retard de croissance in utéro</w:t>
      </w:r>
    </w:p>
    <w:p w14:paraId="05AA881C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Prématurité</w:t>
      </w:r>
    </w:p>
    <w:p w14:paraId="7A344E3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On peut toujours traiter la femme enceinte</w:t>
      </w:r>
    </w:p>
    <w:p w14:paraId="43AAA9F1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Lèpre et l’infection au VIH</w:t>
      </w:r>
    </w:p>
    <w:p w14:paraId="0546617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Forme borderline </w:t>
      </w:r>
    </w:p>
    <w:p w14:paraId="7816B13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Sd de restauration immunitaire : responsable de l’infection lépreux sous antirétroviraux (ARV)</w:t>
      </w:r>
    </w:p>
    <w:p w14:paraId="19990BF5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9" w:name="_Toc199845284"/>
      <w:r w:rsidRPr="00D33D10">
        <w:rPr>
          <w:rFonts w:cs="Times New Roman"/>
        </w:rPr>
        <w:t>Complication nerveuse</w:t>
      </w:r>
      <w:bookmarkEnd w:id="9"/>
      <w:r w:rsidRPr="00D33D10">
        <w:rPr>
          <w:rFonts w:cs="Times New Roman"/>
        </w:rPr>
        <w:t xml:space="preserve"> </w:t>
      </w:r>
    </w:p>
    <w:p w14:paraId="1F6C776B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Degré d’invalidité (YMP : yeux, mains et pieds)</w:t>
      </w:r>
    </w:p>
    <w:p w14:paraId="1F2E0D4E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0" w:name="_Toc199845285"/>
      <w:r w:rsidRPr="00D33D10">
        <w:rPr>
          <w:rFonts w:cs="Times New Roman"/>
        </w:rPr>
        <w:t>Les examens paracliniques (signe paraclinique)</w:t>
      </w:r>
      <w:bookmarkEnd w:id="10"/>
    </w:p>
    <w:p w14:paraId="44C11D1D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Examen bactériologique </w:t>
      </w:r>
    </w:p>
    <w:p w14:paraId="3F86A8B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Dans les mucus nasal (frottis nasal)</w:t>
      </w:r>
    </w:p>
    <w:p w14:paraId="2C0363C0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Biopsie cutanée </w:t>
      </w:r>
    </w:p>
    <w:p w14:paraId="19168C7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Coloration de Ziehl Nelsen : compter le bactérie (index bactériologique IB) et index morphologique (IM) permettant la disposition de bactérie</w:t>
      </w:r>
    </w:p>
    <w:p w14:paraId="1117E1F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IB de 1 – 6 selon le nombre de bactérie (permet la classification de l’OMS)</w:t>
      </w:r>
    </w:p>
    <w:p w14:paraId="5C456D31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Résultat : négatif, 1+, 2</w:t>
      </w:r>
      <w:proofErr w:type="gramStart"/>
      <w:r w:rsidRPr="00D33D10">
        <w:rPr>
          <w:rFonts w:cs="Times New Roman"/>
        </w:rPr>
        <w:t>+, ….</w:t>
      </w:r>
      <w:proofErr w:type="gramEnd"/>
      <w:r w:rsidRPr="00D33D10">
        <w:rPr>
          <w:rFonts w:cs="Times New Roman"/>
        </w:rPr>
        <w:t xml:space="preserve"> , 6+</w:t>
      </w:r>
    </w:p>
    <w:p w14:paraId="6E7AD92C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Examen anapath</w:t>
      </w:r>
    </w:p>
    <w:p w14:paraId="79EA6E2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Biopsie cutanée </w:t>
      </w:r>
    </w:p>
    <w:p w14:paraId="3190FA6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Coloration de Ziehl </w:t>
      </w:r>
    </w:p>
    <w:p w14:paraId="21E41838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Cellule pathognomonique : cellule de Virchow (son absence n’exclut pas la lèpre)</w:t>
      </w:r>
    </w:p>
    <w:p w14:paraId="4681D00B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PCR</w:t>
      </w:r>
    </w:p>
    <w:p w14:paraId="7D171C9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ADN de </w:t>
      </w:r>
      <w:r w:rsidRPr="00D33D10">
        <w:rPr>
          <w:rFonts w:cs="Times New Roman"/>
          <w:i/>
        </w:rPr>
        <w:t>mycobactérium leprea</w:t>
      </w:r>
      <w:r w:rsidRPr="00D33D10">
        <w:rPr>
          <w:rFonts w:cs="Times New Roman"/>
        </w:rPr>
        <w:t xml:space="preserve"> : positif 90% des formes lépromateux, 20 % forme tuberculoïde </w:t>
      </w:r>
    </w:p>
    <w:p w14:paraId="7AB0006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Diagnostic </w:t>
      </w:r>
      <w:proofErr w:type="gramStart"/>
      <w:r w:rsidRPr="00D33D10">
        <w:rPr>
          <w:rFonts w:cs="Times New Roman"/>
        </w:rPr>
        <w:t>précoce  la</w:t>
      </w:r>
      <w:proofErr w:type="gramEnd"/>
      <w:r w:rsidRPr="00D33D10">
        <w:rPr>
          <w:rFonts w:cs="Times New Roman"/>
        </w:rPr>
        <w:t xml:space="preserve"> lèpre</w:t>
      </w:r>
    </w:p>
    <w:p w14:paraId="4D0D4B4F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lastRenderedPageBreak/>
        <w:t xml:space="preserve">Etude de résistance </w:t>
      </w:r>
    </w:p>
    <w:p w14:paraId="120EFD5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Confirmation diagnostic de la lèpre nerveuse pure </w:t>
      </w:r>
    </w:p>
    <w:p w14:paraId="64193B02" w14:textId="77777777" w:rsidR="00542309" w:rsidRPr="00D33D10" w:rsidRDefault="00542309" w:rsidP="00542309">
      <w:pPr>
        <w:pStyle w:val="Titre2"/>
        <w:rPr>
          <w:rFonts w:cs="Times New Roman"/>
        </w:rPr>
      </w:pPr>
      <w:bookmarkStart w:id="11" w:name="_Toc199845286"/>
      <w:r w:rsidRPr="00D33D10">
        <w:rPr>
          <w:rFonts w:cs="Times New Roman"/>
        </w:rPr>
        <w:t>Diagnostics</w:t>
      </w:r>
      <w:bookmarkEnd w:id="11"/>
    </w:p>
    <w:p w14:paraId="36F99E1C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2" w:name="_Toc199845287"/>
      <w:r w:rsidRPr="00D33D10">
        <w:rPr>
          <w:rFonts w:cs="Times New Roman"/>
        </w:rPr>
        <w:t>Positif</w:t>
      </w:r>
      <w:bookmarkEnd w:id="12"/>
    </w:p>
    <w:p w14:paraId="21335E9B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cutanée associé à des lésions nerveuses</w:t>
      </w:r>
    </w:p>
    <w:p w14:paraId="4AC1304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IB  positif</w:t>
      </w:r>
      <w:proofErr w:type="gramEnd"/>
    </w:p>
    <w:p w14:paraId="7065268B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proofErr w:type="gramStart"/>
      <w:r w:rsidRPr="00D33D10">
        <w:rPr>
          <w:rFonts w:cs="Times New Roman"/>
        </w:rPr>
        <w:t>PCR positif</w:t>
      </w:r>
      <w:proofErr w:type="gramEnd"/>
    </w:p>
    <w:p w14:paraId="7384A92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Cellule de Virchow en anapath</w:t>
      </w:r>
    </w:p>
    <w:p w14:paraId="4359B3A7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3" w:name="_Toc199845288"/>
      <w:r w:rsidRPr="00D33D10">
        <w:rPr>
          <w:rFonts w:cs="Times New Roman"/>
        </w:rPr>
        <w:t>Différentiel</w:t>
      </w:r>
      <w:bookmarkEnd w:id="13"/>
    </w:p>
    <w:p w14:paraId="634DE4F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hypo chromique </w:t>
      </w:r>
    </w:p>
    <w:p w14:paraId="3E557C4C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Eczématide achromiante (lésion blanchâtre sur le visage de l’enfant, bien limité, non prurigineuse et sensible), sujet atopique +++</w:t>
      </w:r>
    </w:p>
    <w:p w14:paraId="708E3BA9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Dermatite séborrhéique </w:t>
      </w:r>
    </w:p>
    <w:p w14:paraId="1B93AA3F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Infection mycosique de la région séborrhéique </w:t>
      </w:r>
    </w:p>
    <w:p w14:paraId="0AF70370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Lésion hypochromique squameuse</w:t>
      </w:r>
    </w:p>
    <w:p w14:paraId="414B9D47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Prurigineuse </w:t>
      </w:r>
    </w:p>
    <w:p w14:paraId="0CDD9279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Vitiligo</w:t>
      </w:r>
    </w:p>
    <w:p w14:paraId="2B48F217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Inflammation de la peau : </w:t>
      </w:r>
    </w:p>
    <w:p w14:paraId="287C36CC" w14:textId="77777777" w:rsidR="00542309" w:rsidRPr="00D33D10" w:rsidRDefault="00542309" w:rsidP="00542309">
      <w:pPr>
        <w:numPr>
          <w:ilvl w:val="2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sensible </w:t>
      </w:r>
    </w:p>
    <w:p w14:paraId="404EECCD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Cicatrice hypo chromique </w:t>
      </w:r>
    </w:p>
    <w:p w14:paraId="2EDF534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Lésion papulo-nodulaire  </w:t>
      </w:r>
    </w:p>
    <w:p w14:paraId="4889DC33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Acné </w:t>
      </w:r>
    </w:p>
    <w:p w14:paraId="6BD16678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Sarcoïdose multi lésionnel</w:t>
      </w:r>
    </w:p>
    <w:p w14:paraId="5B54F08B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Maladie de Kaposi (péri-vasculaire)</w:t>
      </w:r>
    </w:p>
    <w:p w14:paraId="649CF483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Hématodermie (nodule vasculaire, hémopathie maligne, leucémie), </w:t>
      </w:r>
      <w:proofErr w:type="gramStart"/>
      <w:r w:rsidRPr="00D33D10">
        <w:rPr>
          <w:rFonts w:cs="Times New Roman"/>
        </w:rPr>
        <w:t>lésion violacé</w:t>
      </w:r>
      <w:proofErr w:type="gramEnd"/>
      <w:r w:rsidRPr="00D33D10">
        <w:rPr>
          <w:rFonts w:cs="Times New Roman"/>
        </w:rPr>
        <w:t xml:space="preserve"> de grande taille</w:t>
      </w:r>
    </w:p>
    <w:p w14:paraId="745D34A1" w14:textId="77777777" w:rsidR="00542309" w:rsidRPr="00D33D10" w:rsidRDefault="00542309" w:rsidP="00542309">
      <w:pPr>
        <w:numPr>
          <w:ilvl w:val="1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Rarement syphilis secondaire, un pian, une onchocercose, une histoplasmose cutanée, une sporotrichose, une leishmaniose</w:t>
      </w:r>
    </w:p>
    <w:p w14:paraId="36B90C09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4" w:name="_Toc199845289"/>
      <w:r w:rsidRPr="00D33D10">
        <w:rPr>
          <w:rFonts w:cs="Times New Roman"/>
        </w:rPr>
        <w:t>Etiologique</w:t>
      </w:r>
      <w:bookmarkEnd w:id="14"/>
    </w:p>
    <w:p w14:paraId="740F7F5F" w14:textId="77777777" w:rsidR="00542309" w:rsidRPr="00D33D10" w:rsidRDefault="00542309" w:rsidP="00542309">
      <w:pPr>
        <w:pStyle w:val="Titre4"/>
        <w:rPr>
          <w:rFonts w:cs="Times New Roman"/>
        </w:rPr>
      </w:pPr>
      <w:proofErr w:type="gramStart"/>
      <w:r w:rsidRPr="00D33D10">
        <w:rPr>
          <w:rFonts w:cs="Times New Roman"/>
        </w:rPr>
        <w:t>Agents pathogène</w:t>
      </w:r>
      <w:proofErr w:type="gramEnd"/>
      <w:r w:rsidRPr="00D33D10">
        <w:rPr>
          <w:rFonts w:cs="Times New Roman"/>
        </w:rPr>
        <w:t xml:space="preserve"> </w:t>
      </w:r>
    </w:p>
    <w:p w14:paraId="11965201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  <w:i/>
        </w:rPr>
        <w:t>Mycobactérium leprae</w:t>
      </w:r>
      <w:r w:rsidRPr="00D33D10">
        <w:rPr>
          <w:rFonts w:cs="Times New Roman"/>
        </w:rPr>
        <w:t xml:space="preserve"> : ou bacille de Hansen </w:t>
      </w:r>
    </w:p>
    <w:p w14:paraId="4ED4B8D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BAAR intracellulaire, non mobile</w:t>
      </w:r>
    </w:p>
    <w:p w14:paraId="51C31C91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1 -8 µm de long de </w:t>
      </w:r>
    </w:p>
    <w:p w14:paraId="452BBD11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Mycobactérie à croissance lente </w:t>
      </w:r>
    </w:p>
    <w:p w14:paraId="3A011F93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Temps de dislocation et de ……</w:t>
      </w:r>
    </w:p>
    <w:p w14:paraId="5825218B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lastRenderedPageBreak/>
        <w:t xml:space="preserve">Réservoir </w:t>
      </w:r>
    </w:p>
    <w:p w14:paraId="2384B4D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Homme malade</w:t>
      </w:r>
    </w:p>
    <w:p w14:paraId="351AE37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Elimination par la muqueuse </w:t>
      </w:r>
      <w:proofErr w:type="gramStart"/>
      <w:r w:rsidRPr="00D33D10">
        <w:rPr>
          <w:rFonts w:cs="Times New Roman"/>
        </w:rPr>
        <w:t>nasale  et</w:t>
      </w:r>
      <w:proofErr w:type="gramEnd"/>
      <w:r w:rsidRPr="00D33D10">
        <w:rPr>
          <w:rFonts w:cs="Times New Roman"/>
        </w:rPr>
        <w:t xml:space="preserve"> la peau </w:t>
      </w:r>
    </w:p>
    <w:p w14:paraId="6396198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Spécifiquement humaine</w:t>
      </w:r>
    </w:p>
    <w:p w14:paraId="105D8E09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La source d’infection : essentiellement lèpre multi bacillaire </w:t>
      </w:r>
    </w:p>
    <w:p w14:paraId="701EA1C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Transmission directe</w:t>
      </w:r>
    </w:p>
    <w:p w14:paraId="6230ECBD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Portage nasal (mouchage, crachat, aérosol,) la voie de pénétration est la voie respiratoire qui qui joue un rôle prépondérant </w:t>
      </w:r>
    </w:p>
    <w:p w14:paraId="09F6F757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Maladie génétique aussi </w:t>
      </w:r>
    </w:p>
    <w:p w14:paraId="627B6E90" w14:textId="77777777" w:rsidR="00542309" w:rsidRPr="00D33D10" w:rsidRDefault="00542309" w:rsidP="00542309">
      <w:pPr>
        <w:pStyle w:val="Titre2"/>
        <w:rPr>
          <w:rFonts w:cs="Times New Roman"/>
        </w:rPr>
      </w:pPr>
      <w:bookmarkStart w:id="15" w:name="_Toc199845290"/>
      <w:r w:rsidRPr="00D33D10">
        <w:rPr>
          <w:rFonts w:cs="Times New Roman"/>
        </w:rPr>
        <w:t>Traitement</w:t>
      </w:r>
      <w:bookmarkEnd w:id="15"/>
    </w:p>
    <w:p w14:paraId="344D7FBA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6" w:name="_Toc199845291"/>
      <w:r w:rsidRPr="00D33D10">
        <w:rPr>
          <w:rFonts w:cs="Times New Roman"/>
        </w:rPr>
        <w:t>But</w:t>
      </w:r>
      <w:bookmarkEnd w:id="16"/>
      <w:r w:rsidRPr="00D33D10">
        <w:rPr>
          <w:rFonts w:cs="Times New Roman"/>
        </w:rPr>
        <w:t xml:space="preserve"> </w:t>
      </w:r>
    </w:p>
    <w:p w14:paraId="1C29CE40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Interruption du la transmission </w:t>
      </w:r>
    </w:p>
    <w:p w14:paraId="0ADA3243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Traitement des patients </w:t>
      </w:r>
    </w:p>
    <w:p w14:paraId="6FC6F2FA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Prévention des déformations </w:t>
      </w:r>
    </w:p>
    <w:p w14:paraId="3E645B5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Depuis 1995, il s’est mis gratuitement à la disposition de tous les lépreux par l’OMS</w:t>
      </w:r>
    </w:p>
    <w:p w14:paraId="2B107EC2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7" w:name="_Toc199845292"/>
      <w:r w:rsidRPr="00D33D10">
        <w:rPr>
          <w:rFonts w:cs="Times New Roman"/>
        </w:rPr>
        <w:t>Moyens</w:t>
      </w:r>
      <w:bookmarkEnd w:id="17"/>
      <w:r w:rsidRPr="00D33D10">
        <w:rPr>
          <w:rFonts w:cs="Times New Roman"/>
        </w:rPr>
        <w:t xml:space="preserve"> </w:t>
      </w:r>
    </w:p>
    <w:p w14:paraId="32DB98C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  <w:lang w:val="en-US"/>
        </w:rPr>
      </w:pPr>
      <w:r w:rsidRPr="00D33D10">
        <w:rPr>
          <w:rFonts w:cs="Times New Roman"/>
          <w:lang w:val="en-US"/>
        </w:rPr>
        <w:t>Rifampicine (RMP) 10 mg/KG/j</w:t>
      </w:r>
    </w:p>
    <w:p w14:paraId="2D806B33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Sulfones 1,5 mg/kg/j</w:t>
      </w:r>
    </w:p>
    <w:p w14:paraId="329D4EC2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Clofazimine : 1 mg/kg/j</w:t>
      </w:r>
    </w:p>
    <w:p w14:paraId="57E32A0A" w14:textId="77777777" w:rsidR="00542309" w:rsidRPr="00D33D10" w:rsidRDefault="00542309" w:rsidP="00542309">
      <w:pPr>
        <w:pStyle w:val="Titre3"/>
        <w:rPr>
          <w:rFonts w:cs="Times New Roman"/>
        </w:rPr>
      </w:pPr>
      <w:bookmarkStart w:id="18" w:name="_Toc199845293"/>
      <w:r w:rsidRPr="00D33D10">
        <w:rPr>
          <w:rFonts w:cs="Times New Roman"/>
        </w:rPr>
        <w:t>Indication</w:t>
      </w:r>
      <w:bookmarkEnd w:id="18"/>
      <w:r w:rsidRPr="00D33D10">
        <w:rPr>
          <w:rFonts w:cs="Times New Roman"/>
        </w:rPr>
        <w:t xml:space="preserve"> </w:t>
      </w:r>
    </w:p>
    <w:p w14:paraId="40D09900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Lèpre multi bacillaire : LL, BL, BB</w:t>
      </w:r>
    </w:p>
    <w:p w14:paraId="1D8A66E6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PCT recommandée par l’OMS dans les pays d’endémie</w:t>
      </w:r>
    </w:p>
    <w:p w14:paraId="619A4D7C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Trithérapie systématique (RMP/DDS/CLO)</w:t>
      </w:r>
    </w:p>
    <w:p w14:paraId="779B764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 12 mois</w:t>
      </w:r>
    </w:p>
    <w:p w14:paraId="2215284F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Pauci bacillaire </w:t>
      </w:r>
    </w:p>
    <w:p w14:paraId="20B82044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 xml:space="preserve">Trithérapie systématique </w:t>
      </w:r>
    </w:p>
    <w:p w14:paraId="52BA81B5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Duré 6 mois</w:t>
      </w:r>
    </w:p>
    <w:p w14:paraId="580ECEA6" w14:textId="77777777" w:rsidR="00542309" w:rsidRPr="00D33D10" w:rsidRDefault="00542309" w:rsidP="00542309">
      <w:pPr>
        <w:pStyle w:val="Titre4"/>
        <w:rPr>
          <w:rFonts w:cs="Times New Roman"/>
        </w:rPr>
      </w:pPr>
      <w:r w:rsidRPr="00D33D10">
        <w:rPr>
          <w:rFonts w:cs="Times New Roman"/>
        </w:rPr>
        <w:t>Réaction lépreuse</w:t>
      </w:r>
    </w:p>
    <w:p w14:paraId="4B1AA499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Continuer l’anti-lépreux</w:t>
      </w:r>
    </w:p>
    <w:p w14:paraId="582969CE" w14:textId="77777777" w:rsidR="00542309" w:rsidRPr="00D33D10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Corticoide : prednisolone 1 mg/kg/j</w:t>
      </w:r>
    </w:p>
    <w:p w14:paraId="1D2F7BAE" w14:textId="22A9255B" w:rsidR="00542309" w:rsidRPr="00E9229B" w:rsidRDefault="00542309" w:rsidP="00542309">
      <w:pPr>
        <w:numPr>
          <w:ilvl w:val="0"/>
          <w:numId w:val="16"/>
        </w:numPr>
        <w:spacing w:line="276" w:lineRule="auto"/>
        <w:rPr>
          <w:rFonts w:cs="Times New Roman"/>
        </w:rPr>
      </w:pPr>
      <w:r w:rsidRPr="00D33D10">
        <w:rPr>
          <w:rFonts w:cs="Times New Roman"/>
        </w:rPr>
        <w:t>Acide acétyle salicylique</w:t>
      </w:r>
    </w:p>
    <w:p w14:paraId="41A88BA4" w14:textId="77777777" w:rsidR="00865AD3" w:rsidRPr="00D33D10" w:rsidRDefault="00865AD3" w:rsidP="00542309">
      <w:pPr>
        <w:numPr>
          <w:ilvl w:val="0"/>
          <w:numId w:val="0"/>
        </w:numPr>
        <w:ind w:left="284" w:hanging="284"/>
        <w:rPr>
          <w:rFonts w:cs="Times New Roman"/>
        </w:rPr>
      </w:pPr>
    </w:p>
    <w:sectPr w:rsidR="00865AD3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5D746" w14:textId="77777777" w:rsidR="007D7FBE" w:rsidRDefault="007D7FBE" w:rsidP="00CF2E78">
      <w:pPr>
        <w:spacing w:line="240" w:lineRule="auto"/>
      </w:pPr>
      <w:r>
        <w:separator/>
      </w:r>
    </w:p>
  </w:endnote>
  <w:endnote w:type="continuationSeparator" w:id="0">
    <w:p w14:paraId="500D495B" w14:textId="77777777" w:rsidR="007D7FBE" w:rsidRDefault="007D7FBE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B9409" w14:textId="3769191B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9229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1EAAC968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8080B" w14:textId="77777777" w:rsidR="007D7FBE" w:rsidRDefault="007D7FBE" w:rsidP="00CF2E78">
      <w:pPr>
        <w:spacing w:line="240" w:lineRule="auto"/>
      </w:pPr>
      <w:r>
        <w:separator/>
      </w:r>
    </w:p>
  </w:footnote>
  <w:footnote w:type="continuationSeparator" w:id="0">
    <w:p w14:paraId="2846B723" w14:textId="77777777" w:rsidR="007D7FBE" w:rsidRDefault="007D7FBE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5C13B" w14:textId="77777777" w:rsidR="00EF3288" w:rsidRDefault="00EF3288" w:rsidP="00CF2E78">
    <w:pPr>
      <w:pStyle w:val="En-tte"/>
      <w:numPr>
        <w:ilvl w:val="0"/>
        <w:numId w:val="0"/>
      </w:numPr>
      <w:jc w:val="center"/>
    </w:pPr>
    <w:r>
      <w:t>ZICO’s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D7FBE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9229B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217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6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2025-09-24T14:03:00Z</dcterms:modified>
</cp:coreProperties>
</file>