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BB236" w14:textId="77777777" w:rsidR="00537D12" w:rsidRPr="00D33D10" w:rsidRDefault="00E61C37" w:rsidP="00E61C37">
      <w:pPr>
        <w:pStyle w:val="Titre1"/>
        <w:rPr>
          <w:rFonts w:cs="Times New Roman"/>
        </w:rPr>
      </w:pPr>
      <w:bookmarkStart w:id="0" w:name="_Toc197050020"/>
      <w:bookmarkStart w:id="1" w:name="_Toc199845201"/>
      <w:r w:rsidRPr="00D33D10">
        <w:rPr>
          <w:rFonts w:cs="Times New Roman"/>
        </w:rPr>
        <w:t>toxidermie : signes et diagnostic</w:t>
      </w:r>
      <w:bookmarkEnd w:id="0"/>
      <w:bookmarkEnd w:id="1"/>
    </w:p>
    <w:p w14:paraId="55409769" w14:textId="77777777"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>Dr Andrianarison Aina</w:t>
      </w:r>
    </w:p>
    <w:p w14:paraId="29FD7029" w14:textId="77777777" w:rsidR="00E61C37" w:rsidRPr="00D33D10" w:rsidRDefault="00E61C37" w:rsidP="00E61C37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Objectifs </w:t>
      </w:r>
    </w:p>
    <w:p w14:paraId="7AC4A6A3" w14:textId="77777777"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 xml:space="preserve">Enumérer le caractère iatrogénique d’une éruption cutanée </w:t>
      </w:r>
    </w:p>
    <w:p w14:paraId="6539C1EF" w14:textId="77777777"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 xml:space="preserve">Cie les différents type de toxidermie </w:t>
      </w:r>
    </w:p>
    <w:p w14:paraId="73D1DE70" w14:textId="77777777"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>Etablir un plan de prise en charge et de suivi du patient atteint de toxidermie</w:t>
      </w:r>
    </w:p>
    <w:p w14:paraId="554F6F1D" w14:textId="77777777" w:rsidR="00E61C37" w:rsidRPr="00D33D10" w:rsidRDefault="00E61C37" w:rsidP="00E61C37">
      <w:pPr>
        <w:pStyle w:val="Sous-titre"/>
        <w:rPr>
          <w:rFonts w:cs="Times New Roman"/>
        </w:rPr>
      </w:pPr>
      <w:r w:rsidRPr="00D33D10">
        <w:rPr>
          <w:rFonts w:cs="Times New Roman"/>
        </w:rPr>
        <w:t xml:space="preserve">Introduction </w:t>
      </w:r>
    </w:p>
    <w:p w14:paraId="63669243" w14:textId="77777777" w:rsidR="00E61C37" w:rsidRPr="00D33D10" w:rsidRDefault="00E61C37" w:rsidP="00E61C37">
      <w:pPr>
        <w:rPr>
          <w:rFonts w:cs="Times New Roman"/>
        </w:rPr>
      </w:pPr>
      <w:r w:rsidRPr="00D33D10">
        <w:rPr>
          <w:rFonts w:cs="Times New Roman"/>
        </w:rPr>
        <w:t xml:space="preserve">Définition </w:t>
      </w:r>
    </w:p>
    <w:p w14:paraId="7105EF4D" w14:textId="77777777" w:rsidR="00E61C37" w:rsidRPr="00D33D10" w:rsidRDefault="00E61C37" w:rsidP="00E61C3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Les toxidermies : les effets secondaires à expression cutanées des médicaments administrée par voie interne </w:t>
      </w:r>
    </w:p>
    <w:p w14:paraId="0BBA4A72" w14:textId="77777777" w:rsidR="00E61C37" w:rsidRPr="00D33D10" w:rsidRDefault="00E61C37" w:rsidP="00E61C3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Les réactions idiosyncrasiques (non médico-légaux), aigues, imprévisibles</w:t>
      </w:r>
    </w:p>
    <w:p w14:paraId="04C6B96E" w14:textId="77777777" w:rsidR="00E61C37" w:rsidRPr="00D33D10" w:rsidRDefault="00E61C37" w:rsidP="00E61C3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Survenant indépendamment des doses </w:t>
      </w:r>
    </w:p>
    <w:p w14:paraId="56C46569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>Intérêts</w:t>
      </w:r>
    </w:p>
    <w:p w14:paraId="47734CAE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La toxidermie : est un problème de santé publique </w:t>
      </w:r>
    </w:p>
    <w:p w14:paraId="2D517964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Elle est fréquente : 10% du patient hospitalisé </w:t>
      </w:r>
    </w:p>
    <w:p w14:paraId="29AAC46D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Dont 1/3 des atteintes sont graves</w:t>
      </w:r>
    </w:p>
    <w:p w14:paraId="173E4DEF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S’observent chez 1 à  3 % des utilisateurs de médicament d’usage courant </w:t>
      </w:r>
    </w:p>
    <w:p w14:paraId="4C40967A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Ces toxidermies doivent être notifiées aux instances de pharmacovigilance (obligation légale)</w:t>
      </w:r>
    </w:p>
    <w:p w14:paraId="64D99930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Patients doive avoir r un carnet notifier du médicament imputé </w:t>
      </w:r>
    </w:p>
    <w:p w14:paraId="0AD6C299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Enquête d’imputation intrinsèque et extrinsèque </w:t>
      </w:r>
    </w:p>
    <w:p w14:paraId="6BF41A3B" w14:textId="77777777" w:rsidR="00DF7D3C" w:rsidRPr="00D33D10" w:rsidRDefault="00DF7D3C" w:rsidP="00DF7D3C">
      <w:pPr>
        <w:pStyle w:val="Titre2"/>
        <w:rPr>
          <w:rFonts w:cs="Times New Roman"/>
        </w:rPr>
      </w:pPr>
      <w:bookmarkStart w:id="2" w:name="_Toc197050021"/>
      <w:bookmarkStart w:id="3" w:name="_Toc199845202"/>
      <w:r w:rsidRPr="00D33D10">
        <w:rPr>
          <w:rFonts w:cs="Times New Roman"/>
        </w:rPr>
        <w:t>Signes</w:t>
      </w:r>
      <w:bookmarkEnd w:id="2"/>
      <w:bookmarkEnd w:id="3"/>
      <w:r w:rsidRPr="00D33D10">
        <w:rPr>
          <w:rFonts w:cs="Times New Roman"/>
        </w:rPr>
        <w:t xml:space="preserve"> </w:t>
      </w:r>
    </w:p>
    <w:p w14:paraId="0E9F418C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>Deux types de toxidermie</w:t>
      </w:r>
    </w:p>
    <w:p w14:paraId="0EA251EF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Bégnine </w:t>
      </w:r>
    </w:p>
    <w:p w14:paraId="042DE88A" w14:textId="77777777" w:rsidR="00DF7D3C" w:rsidRPr="00D33D10" w:rsidRDefault="00DF7D3C" w:rsidP="00DF7D3C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Grave</w:t>
      </w:r>
    </w:p>
    <w:p w14:paraId="703E97C6" w14:textId="77777777" w:rsidR="00DF7D3C" w:rsidRPr="00D33D10" w:rsidRDefault="00DF7D3C" w:rsidP="00DF7D3C">
      <w:pPr>
        <w:pStyle w:val="Titre3"/>
        <w:rPr>
          <w:rFonts w:cs="Times New Roman"/>
        </w:rPr>
      </w:pPr>
      <w:bookmarkStart w:id="4" w:name="_Toc197050022"/>
      <w:bookmarkStart w:id="5" w:name="_Toc199845203"/>
      <w:r w:rsidRPr="00D33D10">
        <w:rPr>
          <w:rFonts w:cs="Times New Roman"/>
        </w:rPr>
        <w:t>Toxidermie bénignes</w:t>
      </w:r>
      <w:bookmarkEnd w:id="4"/>
      <w:bookmarkEnd w:id="5"/>
    </w:p>
    <w:p w14:paraId="2C517620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Exanthèmes maculo-papuleuse </w:t>
      </w:r>
    </w:p>
    <w:p w14:paraId="4C2D7261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Urticaire </w:t>
      </w:r>
    </w:p>
    <w:p w14:paraId="0689DB64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Photosensible </w:t>
      </w:r>
    </w:p>
    <w:p w14:paraId="71B2513C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Erythème pigmentée fixe </w:t>
      </w:r>
    </w:p>
    <w:p w14:paraId="60E356B1" w14:textId="77777777" w:rsidR="00DF7D3C" w:rsidRPr="00D33D10" w:rsidRDefault="00DF7D3C" w:rsidP="00DF7D3C">
      <w:pPr>
        <w:pStyle w:val="Titre4"/>
        <w:rPr>
          <w:rFonts w:cs="Times New Roman"/>
        </w:rPr>
      </w:pPr>
      <w:r w:rsidRPr="00D33D10">
        <w:rPr>
          <w:rFonts w:cs="Times New Roman"/>
        </w:rPr>
        <w:t>Exanthème maculo-papuleuses</w:t>
      </w:r>
    </w:p>
    <w:p w14:paraId="0C81B3B9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4 – 15 jours après le début du traitement </w:t>
      </w:r>
    </w:p>
    <w:p w14:paraId="66D87781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Début : tronc ou la racine des membres, une extension et confluence pendant quelque jour </w:t>
      </w:r>
    </w:p>
    <w:p w14:paraId="196D6BA7" w14:textId="77777777" w:rsidR="00DF7D3C" w:rsidRPr="00D33D10" w:rsidRDefault="00DF7D3C" w:rsidP="00DF7D3C">
      <w:pPr>
        <w:rPr>
          <w:rFonts w:cs="Times New Roman"/>
        </w:rPr>
      </w:pPr>
      <w:r w:rsidRPr="00D33D10">
        <w:rPr>
          <w:rFonts w:cs="Times New Roman"/>
        </w:rPr>
        <w:t xml:space="preserve">Lésion polymorphe associées chez un même malade </w:t>
      </w:r>
    </w:p>
    <w:p w14:paraId="15C7ACB4" w14:textId="77777777"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 xml:space="preserve">Macules morbiliformes ou en nappe </w:t>
      </w:r>
    </w:p>
    <w:p w14:paraId="2839305C" w14:textId="77777777"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>Papules ou plaques œdémateuse</w:t>
      </w:r>
    </w:p>
    <w:p w14:paraId="35011164" w14:textId="77777777"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>Purpura pétéchiale sur la jambe</w:t>
      </w:r>
    </w:p>
    <w:p w14:paraId="0504E640" w14:textId="77777777" w:rsidR="00E70FF6" w:rsidRPr="00D33D10" w:rsidRDefault="0033133A" w:rsidP="00DF7D3C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Dure moins de </w:t>
      </w:r>
      <w:r w:rsidR="00E70FF6" w:rsidRPr="00D33D10">
        <w:rPr>
          <w:rFonts w:cs="Times New Roman"/>
        </w:rPr>
        <w:t xml:space="preserve">1 semaine, évolue vers une fine desquamation </w:t>
      </w:r>
    </w:p>
    <w:p w14:paraId="2801CC37" w14:textId="77777777"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>Prurit fréquent, parfois sévère</w:t>
      </w:r>
    </w:p>
    <w:p w14:paraId="68041ED6" w14:textId="77777777"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 xml:space="preserve">Fièvre modérée ou absente </w:t>
      </w:r>
    </w:p>
    <w:p w14:paraId="011FF52D" w14:textId="77777777" w:rsidR="00E70FF6" w:rsidRPr="00D33D10" w:rsidRDefault="00E70FF6" w:rsidP="00DF7D3C">
      <w:pPr>
        <w:rPr>
          <w:rFonts w:cs="Times New Roman"/>
        </w:rPr>
      </w:pPr>
      <w:r w:rsidRPr="00D33D10">
        <w:rPr>
          <w:rFonts w:cs="Times New Roman"/>
        </w:rPr>
        <w:t>Absence d’atteint muqueuses (mais possible atteinte du versant semi-muqueux des lèvres [chéilite] ou scrotum)</w:t>
      </w:r>
    </w:p>
    <w:p w14:paraId="420D755F" w14:textId="77777777" w:rsidR="00E70FF6" w:rsidRPr="00D33D10" w:rsidRDefault="00E70FF6" w:rsidP="00E70FF6">
      <w:pPr>
        <w:pStyle w:val="Titre4"/>
        <w:rPr>
          <w:rFonts w:cs="Times New Roman"/>
        </w:rPr>
      </w:pPr>
      <w:r w:rsidRPr="00D33D10">
        <w:rPr>
          <w:rFonts w:cs="Times New Roman"/>
        </w:rPr>
        <w:t>Urticaire immédiate</w:t>
      </w:r>
    </w:p>
    <w:p w14:paraId="195C95EE" w14:textId="77777777"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 xml:space="preserve">Papules mobile et fugaces </w:t>
      </w:r>
    </w:p>
    <w:p w14:paraId="0FF0974B" w14:textId="77777777"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>Quelque minute à quelque heure après l’administration d’un médicament</w:t>
      </w:r>
    </w:p>
    <w:p w14:paraId="1BE8C4D5" w14:textId="77777777"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 xml:space="preserve">Signe une sensibilisation préalable </w:t>
      </w:r>
    </w:p>
    <w:p w14:paraId="4BD3D5C7" w14:textId="77777777" w:rsidR="00E70FF6" w:rsidRPr="00D33D10" w:rsidRDefault="00E70FF6" w:rsidP="00E70FF6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Contre-indique formellement la réintroduction médicament (risque d’anaphylaxie)</w:t>
      </w:r>
    </w:p>
    <w:p w14:paraId="18BD0830" w14:textId="77777777"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>Attention ne pas rattacher facilement ce tableau à un médicament</w:t>
      </w:r>
    </w:p>
    <w:p w14:paraId="26EFEB90" w14:textId="77777777"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>Moins de  10% de l’urticaire aiguë</w:t>
      </w:r>
    </w:p>
    <w:p w14:paraId="5D2CA9C9" w14:textId="77777777" w:rsidR="00E70FF6" w:rsidRPr="00D33D10" w:rsidRDefault="00E70FF6" w:rsidP="00E70FF6">
      <w:pPr>
        <w:pStyle w:val="Titre4"/>
        <w:rPr>
          <w:rFonts w:cs="Times New Roman"/>
        </w:rPr>
      </w:pPr>
      <w:r w:rsidRPr="00D33D10">
        <w:rPr>
          <w:rFonts w:cs="Times New Roman"/>
        </w:rPr>
        <w:t>Photosensibilités</w:t>
      </w:r>
    </w:p>
    <w:p w14:paraId="157A5FE2" w14:textId="77777777"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>Facilement reconnue sur l’anamnèse</w:t>
      </w:r>
    </w:p>
    <w:p w14:paraId="12BD2F1B" w14:textId="77777777"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 xml:space="preserve">Survenue dans les heures qui suivent une exposition solaire </w:t>
      </w:r>
    </w:p>
    <w:p w14:paraId="7EC4D5A7" w14:textId="77777777" w:rsidR="00E70FF6" w:rsidRPr="00D33D10" w:rsidRDefault="00E70FF6" w:rsidP="00E70FF6">
      <w:pPr>
        <w:rPr>
          <w:rFonts w:cs="Times New Roman"/>
        </w:rPr>
      </w:pPr>
      <w:r w:rsidRPr="00D33D10">
        <w:rPr>
          <w:rFonts w:cs="Times New Roman"/>
        </w:rPr>
        <w:t xml:space="preserve">Localisation des lésions aux zones découvertes </w:t>
      </w:r>
    </w:p>
    <w:p w14:paraId="6045665F" w14:textId="77777777" w:rsidR="003F5488" w:rsidRPr="00D33D10" w:rsidRDefault="003F5488" w:rsidP="00E70FF6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Photo</w:t>
      </w:r>
      <w:r w:rsidR="0033133A" w:rsidRPr="00D33D10">
        <w:rPr>
          <w:rFonts w:cs="Times New Roman"/>
          <w:color w:val="ED7D31" w:themeColor="accent2"/>
        </w:rPr>
        <w:t>-</w:t>
      </w:r>
      <w:r w:rsidRPr="00D33D10">
        <w:rPr>
          <w:rFonts w:cs="Times New Roman"/>
          <w:color w:val="ED7D31" w:themeColor="accent2"/>
        </w:rPr>
        <w:t xml:space="preserve">allergie </w:t>
      </w:r>
    </w:p>
    <w:p w14:paraId="61752A58" w14:textId="77777777" w:rsidR="003F5488" w:rsidRPr="00D33D10" w:rsidRDefault="003F5488" w:rsidP="003F54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Lésion d’eczéma des zones exposées solaire minimes </w:t>
      </w:r>
    </w:p>
    <w:p w14:paraId="66E65805" w14:textId="77777777" w:rsidR="003F5488" w:rsidRPr="00D33D10" w:rsidRDefault="003F5488" w:rsidP="003F5488">
      <w:pPr>
        <w:rPr>
          <w:rFonts w:cs="Times New Roman"/>
          <w:color w:val="ED7D31" w:themeColor="accent2"/>
        </w:rPr>
      </w:pPr>
      <w:r w:rsidRPr="00D33D10">
        <w:rPr>
          <w:rFonts w:cs="Times New Roman"/>
          <w:color w:val="ED7D31" w:themeColor="accent2"/>
        </w:rPr>
        <w:t>Photo</w:t>
      </w:r>
      <w:r w:rsidR="0033133A" w:rsidRPr="00D33D10">
        <w:rPr>
          <w:rFonts w:cs="Times New Roman"/>
          <w:color w:val="ED7D31" w:themeColor="accent2"/>
        </w:rPr>
        <w:t>-</w:t>
      </w:r>
      <w:r w:rsidRPr="00D33D10">
        <w:rPr>
          <w:rFonts w:cs="Times New Roman"/>
          <w:color w:val="ED7D31" w:themeColor="accent2"/>
        </w:rPr>
        <w:t xml:space="preserve">toxicité : </w:t>
      </w:r>
    </w:p>
    <w:p w14:paraId="2DCBA0CB" w14:textId="77777777" w:rsidR="003F5488" w:rsidRPr="00D33D10" w:rsidRDefault="003F5488" w:rsidP="003F54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Dépendent des doses de médicament et des doses d’UVA</w:t>
      </w:r>
    </w:p>
    <w:p w14:paraId="77E45194" w14:textId="77777777" w:rsidR="003F5488" w:rsidRPr="00D33D10" w:rsidRDefault="003F5488" w:rsidP="003F548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« super coup de soleil », bulles tendues (mains, jambes) décollement unguéal (onycholyse) </w:t>
      </w:r>
    </w:p>
    <w:p w14:paraId="0D1A7FB3" w14:textId="77777777" w:rsidR="003F5488" w:rsidRPr="00D33D10" w:rsidRDefault="003F5488" w:rsidP="003F5488">
      <w:pPr>
        <w:pStyle w:val="Titre4"/>
        <w:rPr>
          <w:rFonts w:cs="Times New Roman"/>
        </w:rPr>
      </w:pPr>
      <w:r w:rsidRPr="00D33D10">
        <w:rPr>
          <w:rFonts w:cs="Times New Roman"/>
        </w:rPr>
        <w:t>Erythème pigmentée fixe (EPF)</w:t>
      </w:r>
    </w:p>
    <w:p w14:paraId="4CA19CEA" w14:textId="77777777" w:rsidR="003F5488" w:rsidRPr="00D33D10" w:rsidRDefault="003F5488" w:rsidP="003F5488">
      <w:pPr>
        <w:rPr>
          <w:rFonts w:cs="Times New Roman"/>
          <w:highlight w:val="lightGray"/>
        </w:rPr>
      </w:pPr>
      <w:r w:rsidRPr="00D33D10">
        <w:rPr>
          <w:rFonts w:cs="Times New Roman"/>
          <w:highlight w:val="lightGray"/>
        </w:rPr>
        <w:t xml:space="preserve">Pathognomonique d’une toxidermie </w:t>
      </w:r>
    </w:p>
    <w:p w14:paraId="6F0DA142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Seule dermatose de cause exclusivement médicamenteuse</w:t>
      </w:r>
    </w:p>
    <w:p w14:paraId="78F06286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Débuté dans les heures (&lt;48h) suivant le prise du médicament</w:t>
      </w:r>
    </w:p>
    <w:p w14:paraId="3900B121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 xml:space="preserve">1 – 100 plaques érythémateuses arrondies, de quelque centimètre de diamètre </w:t>
      </w:r>
    </w:p>
    <w:p w14:paraId="6A9821F7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Douloureuse et infiltrées (recouvre d’une bulle)</w:t>
      </w:r>
    </w:p>
    <w:p w14:paraId="695BFEE8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Les lésions inflammatoires disparaissent en quelque jour en lassant des tâches pigmentes, brunes ou ar……</w:t>
      </w:r>
    </w:p>
    <w:p w14:paraId="094F05FE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…….</w:t>
      </w:r>
    </w:p>
    <w:p w14:paraId="37A5907B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Les organes génitaux ou les lèvres sont assez fréquente touchées, la face (autour des yeux), le tronc (dos)</w:t>
      </w:r>
    </w:p>
    <w:p w14:paraId="65A482CB" w14:textId="77777777" w:rsidR="003F5488" w:rsidRPr="00D33D10" w:rsidRDefault="00BD7170" w:rsidP="003F5488">
      <w:pPr>
        <w:pStyle w:val="Titre3"/>
        <w:rPr>
          <w:rFonts w:cs="Times New Roman"/>
        </w:rPr>
      </w:pPr>
      <w:bookmarkStart w:id="6" w:name="_Toc197050023"/>
      <w:bookmarkStart w:id="7" w:name="_Toc199845204"/>
      <w:r w:rsidRPr="00D33D10">
        <w:rPr>
          <w:rFonts w:cs="Times New Roman"/>
        </w:rPr>
        <w:t xml:space="preserve">Toxidermie </w:t>
      </w:r>
      <w:r w:rsidR="003F5488" w:rsidRPr="00D33D10">
        <w:rPr>
          <w:rFonts w:cs="Times New Roman"/>
        </w:rPr>
        <w:t>grave</w:t>
      </w:r>
      <w:bookmarkEnd w:id="6"/>
      <w:bookmarkEnd w:id="7"/>
    </w:p>
    <w:p w14:paraId="733A83DA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 xml:space="preserve">De plus en fréquents </w:t>
      </w:r>
    </w:p>
    <w:p w14:paraId="26E147CB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 xml:space="preserve">Mette en jeu le </w:t>
      </w:r>
      <w:r w:rsidR="00BD7170" w:rsidRPr="00D33D10">
        <w:rPr>
          <w:rFonts w:cs="Times New Roman"/>
        </w:rPr>
        <w:t>pronostic</w:t>
      </w:r>
      <w:r w:rsidRPr="00D33D10">
        <w:rPr>
          <w:rFonts w:cs="Times New Roman"/>
        </w:rPr>
        <w:t xml:space="preserve"> vital </w:t>
      </w:r>
    </w:p>
    <w:p w14:paraId="2B8C0B7E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Imposent l’arrêt </w:t>
      </w:r>
      <w:r w:rsidR="000C2008" w:rsidRPr="00D33D10">
        <w:rPr>
          <w:rFonts w:cs="Times New Roman"/>
        </w:rPr>
        <w:t>immédiat</w:t>
      </w:r>
      <w:r w:rsidRPr="00D33D10">
        <w:rPr>
          <w:rFonts w:cs="Times New Roman"/>
        </w:rPr>
        <w:t xml:space="preserve"> du / des médi</w:t>
      </w:r>
      <w:r w:rsidR="000C2008" w:rsidRPr="00D33D10">
        <w:rPr>
          <w:rFonts w:cs="Times New Roman"/>
        </w:rPr>
        <w:t>cament</w:t>
      </w:r>
      <w:r w:rsidRPr="00D33D10">
        <w:rPr>
          <w:rFonts w:cs="Times New Roman"/>
        </w:rPr>
        <w:t xml:space="preserve">(s) </w:t>
      </w:r>
      <w:r w:rsidR="000C2008" w:rsidRPr="00D33D10">
        <w:rPr>
          <w:rFonts w:cs="Times New Roman"/>
        </w:rPr>
        <w:t>suspect</w:t>
      </w:r>
      <w:r w:rsidRPr="00D33D10">
        <w:rPr>
          <w:rFonts w:cs="Times New Roman"/>
        </w:rPr>
        <w:t xml:space="preserve"> (s)</w:t>
      </w:r>
    </w:p>
    <w:p w14:paraId="36A1A4F6" w14:textId="77777777" w:rsidR="003F5488" w:rsidRPr="00D33D10" w:rsidRDefault="003F5488" w:rsidP="003F5488">
      <w:pPr>
        <w:rPr>
          <w:rFonts w:cs="Times New Roman"/>
        </w:rPr>
      </w:pPr>
      <w:r w:rsidRPr="00D33D10">
        <w:rPr>
          <w:rFonts w:cs="Times New Roman"/>
        </w:rPr>
        <w:t>Nécessitent l’hospi</w:t>
      </w:r>
      <w:r w:rsidR="000C2008" w:rsidRPr="00D33D10">
        <w:rPr>
          <w:rFonts w:cs="Times New Roman"/>
        </w:rPr>
        <w:t>ta</w:t>
      </w:r>
      <w:r w:rsidRPr="00D33D10">
        <w:rPr>
          <w:rFonts w:cs="Times New Roman"/>
        </w:rPr>
        <w:t xml:space="preserve">lisation en urgence </w:t>
      </w:r>
    </w:p>
    <w:p w14:paraId="72423014" w14:textId="77777777" w:rsidR="000C2008" w:rsidRPr="00D33D10" w:rsidRDefault="0033133A" w:rsidP="003F5488">
      <w:pPr>
        <w:rPr>
          <w:rFonts w:cs="Times New Roman"/>
        </w:rPr>
      </w:pPr>
      <w:r w:rsidRPr="00D33D10">
        <w:rPr>
          <w:rFonts w:cs="Times New Roman"/>
        </w:rPr>
        <w:t>Angiœ</w:t>
      </w:r>
      <w:r w:rsidR="000C2008" w:rsidRPr="00D33D10">
        <w:rPr>
          <w:rFonts w:cs="Times New Roman"/>
        </w:rPr>
        <w:t>dme et choc anaphylactique</w:t>
      </w:r>
    </w:p>
    <w:p w14:paraId="703B70BD" w14:textId="77777777" w:rsidR="000C2008" w:rsidRPr="00D33D10" w:rsidRDefault="000C2008" w:rsidP="003F5488">
      <w:pPr>
        <w:rPr>
          <w:rFonts w:cs="Times New Roman"/>
        </w:rPr>
      </w:pPr>
      <w:r w:rsidRPr="00D33D10">
        <w:rPr>
          <w:rFonts w:cs="Times New Roman"/>
        </w:rPr>
        <w:t>Pustulose exanthématique aiguë généralisées (PEAG)</w:t>
      </w:r>
    </w:p>
    <w:p w14:paraId="3360FE11" w14:textId="77777777" w:rsidR="000C2008" w:rsidRPr="00D33D10" w:rsidRDefault="000C2008" w:rsidP="003F5488">
      <w:pPr>
        <w:rPr>
          <w:rFonts w:cs="Times New Roman"/>
        </w:rPr>
      </w:pPr>
      <w:r w:rsidRPr="00D33D10">
        <w:rPr>
          <w:rFonts w:cs="Times New Roman"/>
        </w:rPr>
        <w:t xml:space="preserve">Sd de Stevens-Jonson et de Lyell (nécrolyse épidémique toxique </w:t>
      </w:r>
    </w:p>
    <w:p w14:paraId="2AFFB24F" w14:textId="77777777" w:rsidR="000C2008" w:rsidRPr="00D33D10" w:rsidRDefault="000C2008" w:rsidP="003F5488">
      <w:pPr>
        <w:rPr>
          <w:rFonts w:cs="Times New Roman"/>
        </w:rPr>
      </w:pPr>
      <w:r w:rsidRPr="00D33D10">
        <w:rPr>
          <w:rFonts w:cs="Times New Roman"/>
        </w:rPr>
        <w:t>Sd d’hypersensibilité médicamenteuse ou Dress Syndrom</w:t>
      </w:r>
    </w:p>
    <w:p w14:paraId="2E685C43" w14:textId="77777777" w:rsidR="000C2008" w:rsidRPr="00D33D10" w:rsidRDefault="0033133A" w:rsidP="000C2008">
      <w:pPr>
        <w:pStyle w:val="Titre4"/>
        <w:rPr>
          <w:rFonts w:cs="Times New Roman"/>
        </w:rPr>
      </w:pPr>
      <w:r w:rsidRPr="00D33D10">
        <w:rPr>
          <w:rFonts w:cs="Times New Roman"/>
        </w:rPr>
        <w:t>Angiœ</w:t>
      </w:r>
      <w:r w:rsidR="000C2008" w:rsidRPr="00D33D10">
        <w:rPr>
          <w:rFonts w:cs="Times New Roman"/>
        </w:rPr>
        <w:t xml:space="preserve">dème </w:t>
      </w:r>
    </w:p>
    <w:p w14:paraId="74A84ED4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Une tuméfaction ferme, mal limité, ni érythémateuse ni prurigineuse </w:t>
      </w:r>
    </w:p>
    <w:p w14:paraId="77E508B5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Une sensa</w:t>
      </w:r>
      <w:r w:rsidR="00BD7170" w:rsidRPr="00D33D10">
        <w:rPr>
          <w:rFonts w:cs="Times New Roman"/>
        </w:rPr>
        <w:t>t</w:t>
      </w:r>
      <w:r w:rsidRPr="00D33D10">
        <w:rPr>
          <w:rFonts w:cs="Times New Roman"/>
        </w:rPr>
        <w:t>ion</w:t>
      </w:r>
      <w:r w:rsidR="00BD7170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de tensio</w:t>
      </w:r>
      <w:r w:rsidR="00BD7170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</w:t>
      </w:r>
      <w:r w:rsidR="00BD7170" w:rsidRPr="00D33D10">
        <w:rPr>
          <w:rFonts w:cs="Times New Roman"/>
        </w:rPr>
        <w:t>douleur</w:t>
      </w:r>
      <w:r w:rsidRPr="00D33D10">
        <w:rPr>
          <w:rFonts w:cs="Times New Roman"/>
        </w:rPr>
        <w:t xml:space="preserve"> au visage </w:t>
      </w:r>
    </w:p>
    <w:p w14:paraId="288C04F6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Touche </w:t>
      </w:r>
      <w:r w:rsidR="00BD7170" w:rsidRPr="00D33D10">
        <w:rPr>
          <w:rFonts w:cs="Times New Roman"/>
        </w:rPr>
        <w:t>préférentiellement</w:t>
      </w:r>
      <w:r w:rsidRPr="00D33D10">
        <w:rPr>
          <w:rFonts w:cs="Times New Roman"/>
        </w:rPr>
        <w:t xml:space="preserve"> les paupières et </w:t>
      </w:r>
      <w:r w:rsidR="00BD7170" w:rsidRPr="00D33D10">
        <w:rPr>
          <w:rFonts w:cs="Times New Roman"/>
        </w:rPr>
        <w:t>les lèvres</w:t>
      </w:r>
      <w:r w:rsidRPr="00D33D10">
        <w:rPr>
          <w:rFonts w:cs="Times New Roman"/>
        </w:rPr>
        <w:t xml:space="preserve"> </w:t>
      </w:r>
    </w:p>
    <w:p w14:paraId="1EA718ED" w14:textId="77777777" w:rsidR="000C2008" w:rsidRPr="00D33D10" w:rsidRDefault="000C2008" w:rsidP="000C2008">
      <w:pPr>
        <w:pStyle w:val="Titre4"/>
        <w:rPr>
          <w:rFonts w:cs="Times New Roman"/>
        </w:rPr>
      </w:pPr>
      <w:r w:rsidRPr="00D33D10">
        <w:rPr>
          <w:rFonts w:cs="Times New Roman"/>
        </w:rPr>
        <w:t>Œdème de Quincke</w:t>
      </w:r>
    </w:p>
    <w:p w14:paraId="0B74017C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Œdème laryngée</w:t>
      </w:r>
    </w:p>
    <w:p w14:paraId="7C69AD29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Dy</w:t>
      </w:r>
      <w:r w:rsidR="00BD7170" w:rsidRPr="00D33D10">
        <w:rPr>
          <w:rFonts w:cs="Times New Roman"/>
        </w:rPr>
        <w:t>sphonie</w:t>
      </w:r>
      <w:r w:rsidRPr="00D33D10">
        <w:rPr>
          <w:rFonts w:cs="Times New Roman"/>
        </w:rPr>
        <w:t xml:space="preserve">, </w:t>
      </w:r>
      <w:r w:rsidR="0033133A" w:rsidRPr="00D33D10">
        <w:rPr>
          <w:rFonts w:cs="Times New Roman"/>
        </w:rPr>
        <w:t>hyper-salivation</w:t>
      </w:r>
      <w:r w:rsidR="00BD7170" w:rsidRPr="00D33D10">
        <w:rPr>
          <w:rFonts w:cs="Times New Roman"/>
        </w:rPr>
        <w:t>, dysphagie</w:t>
      </w:r>
      <w:r w:rsidRPr="00D33D10">
        <w:rPr>
          <w:rFonts w:cs="Times New Roman"/>
        </w:rPr>
        <w:t xml:space="preserve"> </w:t>
      </w:r>
    </w:p>
    <w:p w14:paraId="7D250A28" w14:textId="77777777" w:rsidR="000C2008" w:rsidRPr="00D33D10" w:rsidRDefault="000C2008" w:rsidP="000C200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un signe d’’alarme d’asphyxie </w:t>
      </w:r>
    </w:p>
    <w:p w14:paraId="1103A1F0" w14:textId="77777777" w:rsidR="000C2008" w:rsidRPr="00D33D10" w:rsidRDefault="000C2008" w:rsidP="000C2008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 l’œdème siège sur </w:t>
      </w:r>
      <w:r w:rsidR="00BD7170" w:rsidRPr="00D33D10">
        <w:rPr>
          <w:rFonts w:cs="Times New Roman"/>
        </w:rPr>
        <w:t>la</w:t>
      </w:r>
      <w:r w:rsidRPr="00D33D10">
        <w:rPr>
          <w:rFonts w:cs="Times New Roman"/>
        </w:rPr>
        <w:t xml:space="preserve"> glotte 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un anaphylactique</w:t>
      </w:r>
    </w:p>
    <w:p w14:paraId="53681BF9" w14:textId="77777777" w:rsidR="000C2008" w:rsidRPr="00D33D10" w:rsidRDefault="000C2008" w:rsidP="000C2008">
      <w:pPr>
        <w:pStyle w:val="Titre4"/>
        <w:rPr>
          <w:rFonts w:cs="Times New Roman"/>
        </w:rPr>
      </w:pPr>
      <w:r w:rsidRPr="00D33D10">
        <w:rPr>
          <w:rFonts w:cs="Times New Roman"/>
        </w:rPr>
        <w:t>Pustulose exanthématique aigue généralisées (</w:t>
      </w:r>
      <w:r w:rsidR="00BD7170" w:rsidRPr="00D33D10">
        <w:rPr>
          <w:rFonts w:cs="Times New Roman"/>
        </w:rPr>
        <w:t>PEAG</w:t>
      </w:r>
      <w:r w:rsidRPr="00D33D10">
        <w:rPr>
          <w:rFonts w:cs="Times New Roman"/>
        </w:rPr>
        <w:t>)</w:t>
      </w:r>
    </w:p>
    <w:p w14:paraId="5C060A9A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Eruption brutale et très fébrile 1 – 4 jours après l’admonition du médicament (souvent antibiotique)</w:t>
      </w:r>
    </w:p>
    <w:p w14:paraId="6ED1AC68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Erythème en nappe, grands plis (aisselle, aine …)</w:t>
      </w:r>
    </w:p>
    <w:p w14:paraId="7CCFF249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Pustule microbiennes superficielles de petite taille (&lt;2mm) à contenu lactescent </w:t>
      </w:r>
    </w:p>
    <w:p w14:paraId="508ED8EC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Un détachement partiel de la parie superficiel de l’épiderme (confluence des </w:t>
      </w:r>
      <w:r w:rsidR="00BD7170" w:rsidRPr="00D33D10">
        <w:rPr>
          <w:rFonts w:cs="Times New Roman"/>
        </w:rPr>
        <w:t>lésions</w:t>
      </w:r>
      <w:r w:rsidRPr="00D33D10">
        <w:rPr>
          <w:rFonts w:cs="Times New Roman"/>
        </w:rPr>
        <w:t xml:space="preserve"> </w:t>
      </w:r>
    </w:p>
    <w:p w14:paraId="1324C010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Une altéra</w:t>
      </w:r>
      <w:r w:rsidR="000E0D1E" w:rsidRPr="00D33D10">
        <w:rPr>
          <w:rFonts w:cs="Times New Roman"/>
        </w:rPr>
        <w:t>t</w:t>
      </w:r>
      <w:r w:rsidRPr="00D33D10">
        <w:rPr>
          <w:rFonts w:cs="Times New Roman"/>
        </w:rPr>
        <w:t>io</w:t>
      </w:r>
      <w:r w:rsidR="000E0D1E" w:rsidRPr="00D33D10">
        <w:rPr>
          <w:rFonts w:cs="Times New Roman"/>
        </w:rPr>
        <w:t>n</w:t>
      </w:r>
      <w:r w:rsidRPr="00D33D10">
        <w:rPr>
          <w:rFonts w:cs="Times New Roman"/>
        </w:rPr>
        <w:t xml:space="preserve"> de l’</w:t>
      </w:r>
      <w:r w:rsidR="000E0D1E" w:rsidRPr="00D33D10">
        <w:rPr>
          <w:rFonts w:cs="Times New Roman"/>
        </w:rPr>
        <w:t>é</w:t>
      </w:r>
      <w:r w:rsidRPr="00D33D10">
        <w:rPr>
          <w:rFonts w:cs="Times New Roman"/>
        </w:rPr>
        <w:t xml:space="preserve">tat général </w:t>
      </w:r>
    </w:p>
    <w:p w14:paraId="03E8CFA0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Une hyperleucytose à polynucléaire neutrophiles </w:t>
      </w:r>
    </w:p>
    <w:p w14:paraId="1571EE3E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La </w:t>
      </w:r>
      <w:r w:rsidR="00BD7170" w:rsidRPr="00D33D10">
        <w:rPr>
          <w:rFonts w:cs="Times New Roman"/>
        </w:rPr>
        <w:t>biopsie</w:t>
      </w:r>
      <w:r w:rsidRPr="00D33D10">
        <w:rPr>
          <w:rFonts w:cs="Times New Roman"/>
        </w:rPr>
        <w:t xml:space="preserve"> cutanée : accumulation de polynucléaire neutrophile dans la partie sous-cornéenne </w:t>
      </w:r>
    </w:p>
    <w:p w14:paraId="4ECD6E14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La régression spontanée et rapide </w:t>
      </w:r>
    </w:p>
    <w:p w14:paraId="3A04DFE4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Les </w:t>
      </w:r>
      <w:r w:rsidR="00BD7170" w:rsidRPr="00D33D10">
        <w:rPr>
          <w:rFonts w:cs="Times New Roman"/>
        </w:rPr>
        <w:t>pustules</w:t>
      </w:r>
      <w:r w:rsidRPr="00D33D10">
        <w:rPr>
          <w:rFonts w:cs="Times New Roman"/>
        </w:rPr>
        <w:t xml:space="preserve"> ………</w:t>
      </w:r>
    </w:p>
    <w:p w14:paraId="680DF382" w14:textId="77777777" w:rsidR="000C2008" w:rsidRPr="00D33D10" w:rsidRDefault="000C2008" w:rsidP="000C2008">
      <w:pPr>
        <w:pStyle w:val="Titre4"/>
        <w:rPr>
          <w:rFonts w:cs="Times New Roman"/>
        </w:rPr>
      </w:pPr>
      <w:r w:rsidRPr="00D33D10">
        <w:rPr>
          <w:rFonts w:cs="Times New Roman"/>
        </w:rPr>
        <w:t>Syndrome de Stevens-Johnson et de Lyell (nécrolyse épidémique toxique)</w:t>
      </w:r>
    </w:p>
    <w:p w14:paraId="7A43BF94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Les formes les plus graves de toxidermies</w:t>
      </w:r>
    </w:p>
    <w:p w14:paraId="14198C8D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Le SSJ et le sd de Lyell : une même maladie </w:t>
      </w:r>
    </w:p>
    <w:p w14:paraId="3331B366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La surface d’épiderme nécrosé </w:t>
      </w:r>
    </w:p>
    <w:p w14:paraId="14BC100C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>SSJ &lt; 10% ; sd de Lyell &gt; 30%</w:t>
      </w:r>
    </w:p>
    <w:p w14:paraId="0DC0547C" w14:textId="77777777" w:rsidR="000C2008" w:rsidRPr="00D33D10" w:rsidRDefault="000C2008" w:rsidP="000C2008">
      <w:pPr>
        <w:rPr>
          <w:rFonts w:cs="Times New Roman"/>
        </w:rPr>
      </w:pPr>
      <w:r w:rsidRPr="00D33D10">
        <w:rPr>
          <w:rFonts w:cs="Times New Roman"/>
        </w:rPr>
        <w:t xml:space="preserve">Forme </w:t>
      </w:r>
      <w:r w:rsidR="000E0D1E" w:rsidRPr="00D33D10">
        <w:rPr>
          <w:rFonts w:cs="Times New Roman"/>
        </w:rPr>
        <w:t>intermédiaire</w:t>
      </w:r>
      <w:r w:rsidRPr="00D33D10">
        <w:rPr>
          <w:rFonts w:cs="Times New Roman"/>
        </w:rPr>
        <w:t xml:space="preserve"> &lt; 10% - 30% &lt;</w:t>
      </w:r>
    </w:p>
    <w:p w14:paraId="2675CE66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>Débute à partir du 21</w:t>
      </w:r>
      <w:r w:rsidRPr="00D33D10">
        <w:rPr>
          <w:rFonts w:cs="Times New Roman"/>
          <w:vertAlign w:val="superscript"/>
        </w:rPr>
        <w:t>ème</w:t>
      </w:r>
      <w:r w:rsidRPr="00D33D10">
        <w:rPr>
          <w:rFonts w:cs="Times New Roman"/>
        </w:rPr>
        <w:t xml:space="preserve"> jour après le début du traitement inducteur </w:t>
      </w:r>
    </w:p>
    <w:p w14:paraId="107BDF1F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lastRenderedPageBreak/>
        <w:t xml:space="preserve">Fièvre </w:t>
      </w:r>
    </w:p>
    <w:p w14:paraId="7B2B6759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 xml:space="preserve">Atteintes muqueuse : brulures oculaire, pharyngite, odynophagie, brûlures mictionnelle </w:t>
      </w:r>
    </w:p>
    <w:p w14:paraId="4B28BF49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>Eruption érythémateuses</w:t>
      </w:r>
    </w:p>
    <w:p w14:paraId="753F3A65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 xml:space="preserve">Evolution rapide vers la phase d’état : en quelques heures à quelques jours </w:t>
      </w:r>
    </w:p>
    <w:p w14:paraId="15B01D98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 xml:space="preserve">Erosion muqueuses multifocales </w:t>
      </w:r>
    </w:p>
    <w:p w14:paraId="206C0F16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 xml:space="preserve">Bulles cutanées </w:t>
      </w:r>
    </w:p>
    <w:p w14:paraId="6C8B81AD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>Lambeaux d’épiderme se détachent à la moindre pression (signe de Nikolsky positif)</w:t>
      </w:r>
    </w:p>
    <w:p w14:paraId="3EFABD03" w14:textId="77777777" w:rsidR="000E0D1E" w:rsidRPr="00D33D10" w:rsidRDefault="000E0D1E" w:rsidP="000C2008">
      <w:pPr>
        <w:rPr>
          <w:rFonts w:cs="Times New Roman"/>
        </w:rPr>
      </w:pPr>
      <w:r w:rsidRPr="00D33D10">
        <w:rPr>
          <w:rFonts w:cs="Times New Roman"/>
        </w:rPr>
        <w:t>SSJ : bulles et vésicule disséminée reste distinctes et de petite taille, les zone de …….</w:t>
      </w:r>
    </w:p>
    <w:p w14:paraId="3431FCF9" w14:textId="77777777" w:rsidR="00E66071" w:rsidRPr="00D33D10" w:rsidRDefault="00E66071" w:rsidP="000C2008">
      <w:pPr>
        <w:rPr>
          <w:rFonts w:cs="Times New Roman"/>
        </w:rPr>
      </w:pPr>
      <w:r w:rsidRPr="00D33D10">
        <w:rPr>
          <w:rFonts w:cs="Times New Roman"/>
        </w:rPr>
        <w:t>Sd de Lyell-NET : de vastes lambeaux d’épiderme sont décollée mettant à nu le derme suintant rouge vif, «  décollables », avec u aspect de linge « </w:t>
      </w:r>
      <w:r w:rsidRPr="00D33D10">
        <w:rPr>
          <w:rFonts w:cs="Times New Roman"/>
          <w:color w:val="ED7D31" w:themeColor="accent2"/>
        </w:rPr>
        <w:t>mouille, fripé </w:t>
      </w:r>
      <w:r w:rsidRPr="00D33D10">
        <w:rPr>
          <w:rFonts w:cs="Times New Roman"/>
        </w:rPr>
        <w:t>»</w:t>
      </w:r>
    </w:p>
    <w:p w14:paraId="7CC2B0F9" w14:textId="77777777" w:rsidR="005F4ED9" w:rsidRPr="00D33D10" w:rsidRDefault="005F4ED9" w:rsidP="000C2008">
      <w:pPr>
        <w:rPr>
          <w:rFonts w:cs="Times New Roman"/>
        </w:rPr>
      </w:pPr>
      <w:r w:rsidRPr="00D33D10">
        <w:rPr>
          <w:rFonts w:cs="Times New Roman"/>
        </w:rPr>
        <w:t>*** éviter le voie veineuse en cas de toxidermie si possible***</w:t>
      </w:r>
    </w:p>
    <w:p w14:paraId="540C3C76" w14:textId="77777777"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 xml:space="preserve">Atteinte viscérale possible : nécrose de l’épithélium bronchique (polypnée avec hypoxémie) de pronostic très défavorable </w:t>
      </w:r>
    </w:p>
    <w:p w14:paraId="74786C61" w14:textId="77777777"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>Examen biologiques : une leucopénie, et parois de trouble d’électrolytique  résultat de déperdition cutanées</w:t>
      </w:r>
    </w:p>
    <w:p w14:paraId="4AE2CC8F" w14:textId="77777777"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>L</w:t>
      </w:r>
      <w:r w:rsidR="00EE18E8" w:rsidRPr="00D33D10">
        <w:rPr>
          <w:rFonts w:cs="Times New Roman"/>
        </w:rPr>
        <w:t>e</w:t>
      </w:r>
      <w:r w:rsidRPr="00D33D10">
        <w:rPr>
          <w:rFonts w:cs="Times New Roman"/>
        </w:rPr>
        <w:t xml:space="preserve"> risque de mortalité est élevé (20 – 25%)</w:t>
      </w:r>
    </w:p>
    <w:p w14:paraId="79CE6595" w14:textId="77777777"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>La ré</w:t>
      </w:r>
      <w:r w:rsidR="00EE18E8" w:rsidRPr="00D33D10">
        <w:rPr>
          <w:rFonts w:cs="Times New Roman"/>
        </w:rPr>
        <w:t>épide</w:t>
      </w:r>
      <w:r w:rsidRPr="00D33D10">
        <w:rPr>
          <w:rFonts w:cs="Times New Roman"/>
        </w:rPr>
        <w:t>rmisation est rapide (10 – 30 jours)</w:t>
      </w:r>
    </w:p>
    <w:p w14:paraId="7E1C0AF3" w14:textId="77777777" w:rsidR="00994F6D" w:rsidRPr="00D33D10" w:rsidRDefault="00994F6D" w:rsidP="000C2008">
      <w:pPr>
        <w:rPr>
          <w:rFonts w:cs="Times New Roman"/>
        </w:rPr>
      </w:pPr>
      <w:r w:rsidRPr="00D33D10">
        <w:rPr>
          <w:rFonts w:cs="Times New Roman"/>
        </w:rPr>
        <w:t>Des séquelles assez fréquente : trouble de la pigmentation et cicatrice  muqueuse (particulier oculaire)</w:t>
      </w:r>
    </w:p>
    <w:p w14:paraId="14DCF601" w14:textId="77777777" w:rsidR="00994F6D" w:rsidRPr="00D33D10" w:rsidRDefault="00994F6D" w:rsidP="00994F6D">
      <w:pPr>
        <w:pStyle w:val="Titre4"/>
        <w:rPr>
          <w:rFonts w:cs="Times New Roman"/>
        </w:rPr>
      </w:pPr>
      <w:r w:rsidRPr="00D33D10">
        <w:rPr>
          <w:rFonts w:cs="Times New Roman"/>
        </w:rPr>
        <w:t>DRESS Syndrom (drug  rash with eosinophilic ant systémie symptoms : sd d’</w:t>
      </w:r>
      <w:r w:rsidR="00EE18E8" w:rsidRPr="00D33D10">
        <w:rPr>
          <w:rFonts w:cs="Times New Roman"/>
        </w:rPr>
        <w:t>hypersensibilité</w:t>
      </w:r>
      <w:r w:rsidRPr="00D33D10">
        <w:rPr>
          <w:rFonts w:cs="Times New Roman"/>
        </w:rPr>
        <w:t xml:space="preserve"> </w:t>
      </w:r>
      <w:r w:rsidR="00EE18E8" w:rsidRPr="00D33D10">
        <w:rPr>
          <w:rFonts w:cs="Times New Roman"/>
        </w:rPr>
        <w:t>médicamenteuse</w:t>
      </w:r>
    </w:p>
    <w:p w14:paraId="7BD6433A" w14:textId="77777777"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t>Physiopathologie</w:t>
      </w:r>
      <w:r w:rsidR="00994F6D" w:rsidRPr="00D33D10">
        <w:rPr>
          <w:rFonts w:cs="Times New Roman"/>
        </w:rPr>
        <w:t xml:space="preserve"> : </w:t>
      </w:r>
      <w:r w:rsidRPr="00D33D10">
        <w:rPr>
          <w:rFonts w:cs="Times New Roman"/>
        </w:rPr>
        <w:t>hypersensible</w:t>
      </w:r>
      <w:r w:rsidR="00994F6D" w:rsidRPr="00D33D10">
        <w:rPr>
          <w:rFonts w:cs="Times New Roman"/>
        </w:rPr>
        <w:t xml:space="preserve"> retardé </w:t>
      </w:r>
      <w:r w:rsidRPr="00D33D10">
        <w:rPr>
          <w:rFonts w:cs="Times New Roman"/>
        </w:rPr>
        <w:t>mé</w:t>
      </w:r>
      <w:r w:rsidR="00994F6D" w:rsidRPr="00D33D10">
        <w:rPr>
          <w:rFonts w:cs="Times New Roman"/>
        </w:rPr>
        <w:t xml:space="preserve">diée par des LT </w:t>
      </w:r>
      <w:r w:rsidRPr="00D33D10">
        <w:rPr>
          <w:rFonts w:cs="Times New Roman"/>
        </w:rPr>
        <w:t>spécifique</w:t>
      </w:r>
      <w:r w:rsidR="00994F6D" w:rsidRPr="00D33D10">
        <w:rPr>
          <w:rFonts w:cs="Times New Roman"/>
        </w:rPr>
        <w:t xml:space="preserve"> du médicament ave une …… ;</w:t>
      </w:r>
    </w:p>
    <w:p w14:paraId="65DDF11E" w14:textId="77777777"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t>Délai</w:t>
      </w:r>
      <w:r w:rsidR="00994F6D" w:rsidRPr="00D33D10">
        <w:rPr>
          <w:rFonts w:cs="Times New Roman"/>
        </w:rPr>
        <w:t xml:space="preserve"> : 3 </w:t>
      </w:r>
      <w:r w:rsidRPr="00D33D10">
        <w:rPr>
          <w:rFonts w:cs="Times New Roman"/>
        </w:rPr>
        <w:t>semaines</w:t>
      </w:r>
      <w:r w:rsidR="00994F6D" w:rsidRPr="00D33D10">
        <w:rPr>
          <w:rFonts w:cs="Times New Roman"/>
        </w:rPr>
        <w:t xml:space="preserve"> à 3 mois </w:t>
      </w:r>
    </w:p>
    <w:p w14:paraId="0E77FF37" w14:textId="77777777"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t>Mortalité</w:t>
      </w:r>
      <w:r w:rsidR="00994F6D" w:rsidRPr="00D33D10">
        <w:rPr>
          <w:rFonts w:cs="Times New Roman"/>
        </w:rPr>
        <w:t> : 10%</w:t>
      </w:r>
    </w:p>
    <w:p w14:paraId="2C86A95D" w14:textId="77777777"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 xml:space="preserve">Une hospitalisation obligatoire </w:t>
      </w:r>
    </w:p>
    <w:p w14:paraId="451C1A18" w14:textId="77777777"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>L’</w:t>
      </w:r>
      <w:r w:rsidR="00EE18E8" w:rsidRPr="00D33D10">
        <w:rPr>
          <w:rFonts w:cs="Times New Roman"/>
        </w:rPr>
        <w:t>évolue</w:t>
      </w:r>
      <w:r w:rsidRPr="00D33D10">
        <w:rPr>
          <w:rFonts w:cs="Times New Roman"/>
        </w:rPr>
        <w:t xml:space="preserve"> est lentement régressive sur plusieurs semaines</w:t>
      </w:r>
    </w:p>
    <w:p w14:paraId="6221E53B" w14:textId="77777777"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>La seule toxidermie avec laquelle on administre le dermocorticoïde</w:t>
      </w:r>
    </w:p>
    <w:p w14:paraId="4963F275" w14:textId="77777777"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>Clinique</w:t>
      </w:r>
      <w:r w:rsidRPr="00D33D10">
        <w:rPr>
          <w:rFonts w:cs="Times New Roman"/>
        </w:rPr>
        <w:tab/>
      </w:r>
    </w:p>
    <w:p w14:paraId="1A594D2B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Prodrome : pharyngite</w:t>
      </w:r>
    </w:p>
    <w:p w14:paraId="6EF23C37" w14:textId="77777777" w:rsidR="00994F6D" w:rsidRPr="00D33D10" w:rsidRDefault="00EE18E8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Altération</w:t>
      </w:r>
      <w:r w:rsidR="00994F6D" w:rsidRPr="00D33D10">
        <w:rPr>
          <w:rFonts w:cs="Times New Roman"/>
        </w:rPr>
        <w:t xml:space="preserve"> de l’état général, fièvre </w:t>
      </w:r>
    </w:p>
    <w:p w14:paraId="5DFD02C3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Œdème du visage et du cou </w:t>
      </w:r>
    </w:p>
    <w:p w14:paraId="4E5FEB8C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Poly adénopathie, </w:t>
      </w:r>
      <w:r w:rsidR="00EE18E8" w:rsidRPr="00D33D10">
        <w:rPr>
          <w:rFonts w:cs="Times New Roman"/>
        </w:rPr>
        <w:t>hépato-splénomégalie</w:t>
      </w:r>
      <w:r w:rsidRPr="00D33D10">
        <w:rPr>
          <w:rFonts w:cs="Times New Roman"/>
        </w:rPr>
        <w:t xml:space="preserve"> </w:t>
      </w:r>
    </w:p>
    <w:p w14:paraId="50DC4B9A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maculo-</w:t>
      </w:r>
      <w:r w:rsidR="00EE18E8" w:rsidRPr="00D33D10">
        <w:rPr>
          <w:rFonts w:cs="Times New Roman"/>
        </w:rPr>
        <w:t>papuleuse</w:t>
      </w:r>
      <w:r w:rsidRPr="00D33D10">
        <w:rPr>
          <w:rFonts w:cs="Times New Roman"/>
        </w:rPr>
        <w:t xml:space="preserve"> diffuse s</w:t>
      </w:r>
    </w:p>
    <w:p w14:paraId="2E4D2272" w14:textId="77777777" w:rsidR="00994F6D" w:rsidRPr="00D33D10" w:rsidRDefault="00EE18E8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Erythrodermie</w:t>
      </w:r>
      <w:r w:rsidR="00994F6D" w:rsidRPr="00D33D10">
        <w:rPr>
          <w:rFonts w:cs="Times New Roman"/>
        </w:rPr>
        <w:t xml:space="preserve"> </w:t>
      </w:r>
    </w:p>
    <w:p w14:paraId="602F3E89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Prurit +++</w:t>
      </w:r>
    </w:p>
    <w:p w14:paraId="0F7F06C8" w14:textId="77777777"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lastRenderedPageBreak/>
        <w:t>Biologie</w:t>
      </w:r>
      <w:r w:rsidR="00994F6D" w:rsidRPr="00D33D10">
        <w:rPr>
          <w:rFonts w:cs="Times New Roman"/>
        </w:rPr>
        <w:t xml:space="preserve"> </w:t>
      </w:r>
    </w:p>
    <w:p w14:paraId="1733E78C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Hyper </w:t>
      </w:r>
      <w:r w:rsidR="00EE18E8" w:rsidRPr="00D33D10">
        <w:rPr>
          <w:rFonts w:cs="Times New Roman"/>
        </w:rPr>
        <w:t>éosinophilie</w:t>
      </w:r>
      <w:r w:rsidRPr="00D33D10">
        <w:rPr>
          <w:rFonts w:cs="Times New Roman"/>
        </w:rPr>
        <w:t xml:space="preserve"> (&gt; 500 ; parfois absente </w:t>
      </w:r>
    </w:p>
    <w:p w14:paraId="3D46A4E0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Lymphocytes activé (hyper basophilie</w:t>
      </w:r>
      <w:r w:rsidRPr="00D33D10">
        <w:rPr>
          <w:rFonts w:cs="Times New Roman"/>
        </w:rPr>
        <w:sym w:font="Wingdings" w:char="F0E8"/>
      </w:r>
      <w:r w:rsidRPr="00D33D10">
        <w:rPr>
          <w:rFonts w:cs="Times New Roman"/>
        </w:rPr>
        <w:t xml:space="preserve"> peut infiltrer dans le cœur et donne arrêt </w:t>
      </w:r>
      <w:r w:rsidR="00EE18E8" w:rsidRPr="00D33D10">
        <w:rPr>
          <w:rFonts w:cs="Times New Roman"/>
        </w:rPr>
        <w:t>cardiaque</w:t>
      </w:r>
      <w:r w:rsidRPr="00D33D10">
        <w:rPr>
          <w:rFonts w:cs="Times New Roman"/>
        </w:rPr>
        <w:t xml:space="preserve"> subite)</w:t>
      </w:r>
    </w:p>
    <w:p w14:paraId="5A2FF5FF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Sd d’activation microphagique</w:t>
      </w:r>
    </w:p>
    <w:p w14:paraId="7CFD228E" w14:textId="77777777" w:rsidR="00994F6D" w:rsidRPr="00D33D10" w:rsidRDefault="00EE18E8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Atteinte</w:t>
      </w:r>
      <w:r w:rsidR="00994F6D" w:rsidRPr="00D33D10">
        <w:rPr>
          <w:rFonts w:cs="Times New Roman"/>
        </w:rPr>
        <w:t xml:space="preserve"> viscéral :</w:t>
      </w:r>
      <w:r w:rsidRPr="00D33D10">
        <w:rPr>
          <w:rFonts w:cs="Times New Roman"/>
        </w:rPr>
        <w:t xml:space="preserve"> fois +++</w:t>
      </w:r>
      <w:r w:rsidR="00994F6D" w:rsidRPr="00D33D10">
        <w:rPr>
          <w:rFonts w:cs="Times New Roman"/>
        </w:rPr>
        <w:t xml:space="preserve">, rein, </w:t>
      </w:r>
      <w:r w:rsidRPr="00D33D10">
        <w:rPr>
          <w:rFonts w:cs="Times New Roman"/>
        </w:rPr>
        <w:t>cardiaque</w:t>
      </w:r>
      <w:r w:rsidR="00994F6D" w:rsidRPr="00D33D10">
        <w:rPr>
          <w:rFonts w:cs="Times New Roman"/>
        </w:rPr>
        <w:t xml:space="preserve">, </w:t>
      </w:r>
      <w:r w:rsidRPr="00D33D10">
        <w:rPr>
          <w:rFonts w:cs="Times New Roman"/>
        </w:rPr>
        <w:t>poumon,</w:t>
      </w:r>
      <w:r w:rsidR="00994F6D" w:rsidRPr="00D33D10">
        <w:rPr>
          <w:rFonts w:cs="Times New Roman"/>
        </w:rPr>
        <w:t xml:space="preserve"> thyroïde, digestive </w:t>
      </w:r>
    </w:p>
    <w:p w14:paraId="1623A982" w14:textId="77777777" w:rsidR="00994F6D" w:rsidRPr="00D33D10" w:rsidRDefault="00994F6D" w:rsidP="00994F6D">
      <w:pPr>
        <w:rPr>
          <w:rFonts w:cs="Times New Roman"/>
        </w:rPr>
      </w:pPr>
      <w:r w:rsidRPr="00D33D10">
        <w:rPr>
          <w:rFonts w:cs="Times New Roman"/>
        </w:rPr>
        <w:t xml:space="preserve">Histologie </w:t>
      </w:r>
    </w:p>
    <w:p w14:paraId="712AA6E2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Infiltrat de</w:t>
      </w:r>
      <w:r w:rsidR="00EE18E8" w:rsidRPr="00D33D10">
        <w:rPr>
          <w:rFonts w:cs="Times New Roman"/>
        </w:rPr>
        <w:t>r</w:t>
      </w:r>
      <w:r w:rsidRPr="00D33D10">
        <w:rPr>
          <w:rFonts w:cs="Times New Roman"/>
        </w:rPr>
        <w:t xml:space="preserve">mique </w:t>
      </w:r>
      <w:r w:rsidR="00EE18E8" w:rsidRPr="00D33D10">
        <w:rPr>
          <w:rFonts w:cs="Times New Roman"/>
        </w:rPr>
        <w:t>lymphocytaire</w:t>
      </w:r>
      <w:r w:rsidRPr="00D33D10">
        <w:rPr>
          <w:rFonts w:cs="Times New Roman"/>
        </w:rPr>
        <w:t> : à PNE</w:t>
      </w:r>
    </w:p>
    <w:p w14:paraId="0C5110F5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Epidermotrpisme</w:t>
      </w:r>
    </w:p>
    <w:p w14:paraId="1D044D5D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Nécr</w:t>
      </w:r>
      <w:r w:rsidR="00EE18E8" w:rsidRPr="00D33D10">
        <w:rPr>
          <w:rFonts w:cs="Times New Roman"/>
        </w:rPr>
        <w:t>o</w:t>
      </w:r>
      <w:r w:rsidRPr="00D33D10">
        <w:rPr>
          <w:rFonts w:cs="Times New Roman"/>
        </w:rPr>
        <w:t xml:space="preserve">se kératinocytiaire éparses </w:t>
      </w:r>
    </w:p>
    <w:p w14:paraId="4918B1C4" w14:textId="77777777" w:rsidR="00994F6D" w:rsidRPr="00D33D10" w:rsidRDefault="00EE18E8" w:rsidP="00994F6D">
      <w:pPr>
        <w:rPr>
          <w:rFonts w:cs="Times New Roman"/>
        </w:rPr>
      </w:pPr>
      <w:r w:rsidRPr="00D33D10">
        <w:rPr>
          <w:rFonts w:cs="Times New Roman"/>
        </w:rPr>
        <w:t>Les médicaments principalement</w:t>
      </w:r>
      <w:r w:rsidR="00994F6D" w:rsidRPr="00D33D10">
        <w:rPr>
          <w:rFonts w:cs="Times New Roman"/>
        </w:rPr>
        <w:t xml:space="preserve"> impliquée dans le DRESS</w:t>
      </w:r>
    </w:p>
    <w:p w14:paraId="536882E5" w14:textId="77777777" w:rsidR="00994F6D" w:rsidRPr="00D33D10" w:rsidRDefault="00EE18E8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Les anticonvulsivants</w:t>
      </w:r>
      <w:r w:rsidR="00994F6D" w:rsidRPr="00D33D10">
        <w:rPr>
          <w:rFonts w:cs="Times New Roman"/>
        </w:rPr>
        <w:t xml:space="preserve"> </w:t>
      </w:r>
    </w:p>
    <w:p w14:paraId="6B726B19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Les sulfonamides </w:t>
      </w:r>
    </w:p>
    <w:p w14:paraId="1F838B1B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 </w:t>
      </w:r>
      <w:r w:rsidR="00B67213" w:rsidRPr="00D33D10">
        <w:rPr>
          <w:rFonts w:cs="Times New Roman"/>
        </w:rPr>
        <w:t>dap</w:t>
      </w:r>
      <w:r w:rsidRPr="00D33D10">
        <w:rPr>
          <w:rFonts w:cs="Times New Roman"/>
        </w:rPr>
        <w:t xml:space="preserve">sone </w:t>
      </w:r>
    </w:p>
    <w:p w14:paraId="147C4960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L’allopurinol</w:t>
      </w:r>
    </w:p>
    <w:p w14:paraId="7F17B50C" w14:textId="77777777" w:rsidR="00994F6D" w:rsidRPr="00D33D10" w:rsidRDefault="00994F6D" w:rsidP="00994F6D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La minocy</w:t>
      </w:r>
      <w:r w:rsidR="00B67213" w:rsidRPr="00D33D10">
        <w:rPr>
          <w:rFonts w:cs="Times New Roman"/>
        </w:rPr>
        <w:t>c</w:t>
      </w:r>
      <w:r w:rsidRPr="00D33D10">
        <w:rPr>
          <w:rFonts w:cs="Times New Roman"/>
        </w:rPr>
        <w:t>line et le</w:t>
      </w:r>
      <w:r w:rsidR="00B67213" w:rsidRPr="00D33D10">
        <w:rPr>
          <w:rFonts w:cs="Times New Roman"/>
        </w:rPr>
        <w:t>s</w:t>
      </w:r>
      <w:r w:rsidRPr="00D33D10">
        <w:rPr>
          <w:rFonts w:cs="Times New Roman"/>
        </w:rPr>
        <w:t xml:space="preserve"> sels d’or</w:t>
      </w:r>
    </w:p>
    <w:p w14:paraId="4B899102" w14:textId="77777777" w:rsidR="00B67213" w:rsidRPr="00D33D10" w:rsidRDefault="00EE18E8" w:rsidP="00EE18E8">
      <w:pPr>
        <w:pStyle w:val="Titre2"/>
        <w:rPr>
          <w:rFonts w:cs="Times New Roman"/>
        </w:rPr>
      </w:pPr>
      <w:bookmarkStart w:id="8" w:name="_Toc197050024"/>
      <w:bookmarkStart w:id="9" w:name="_Toc199845205"/>
      <w:r w:rsidRPr="00D33D10">
        <w:rPr>
          <w:rFonts w:cs="Times New Roman"/>
        </w:rPr>
        <w:t>Diagnostics</w:t>
      </w:r>
      <w:bookmarkEnd w:id="8"/>
      <w:bookmarkEnd w:id="9"/>
      <w:r w:rsidRPr="00D33D10">
        <w:rPr>
          <w:rFonts w:cs="Times New Roman"/>
        </w:rPr>
        <w:t xml:space="preserve"> </w:t>
      </w:r>
    </w:p>
    <w:p w14:paraId="778CD91B" w14:textId="77777777" w:rsidR="0065262C" w:rsidRPr="00D33D10" w:rsidRDefault="00DF42D7" w:rsidP="00DF42D7">
      <w:pPr>
        <w:pStyle w:val="Titre3"/>
        <w:rPr>
          <w:rFonts w:cs="Times New Roman"/>
        </w:rPr>
      </w:pPr>
      <w:bookmarkStart w:id="10" w:name="_Toc197050025"/>
      <w:bookmarkStart w:id="11" w:name="_Toc199845206"/>
      <w:r w:rsidRPr="00D33D10">
        <w:rPr>
          <w:rFonts w:cs="Times New Roman"/>
        </w:rPr>
        <w:t>Etiologique</w:t>
      </w:r>
      <w:bookmarkEnd w:id="10"/>
      <w:bookmarkEnd w:id="11"/>
    </w:p>
    <w:p w14:paraId="7171E9C6" w14:textId="77777777" w:rsidR="00DF42D7" w:rsidRPr="00D33D10" w:rsidRDefault="00DF42D7" w:rsidP="00DF42D7">
      <w:pPr>
        <w:rPr>
          <w:rFonts w:cs="Times New Roman"/>
        </w:rPr>
      </w:pPr>
      <w:r w:rsidRPr="00D33D10">
        <w:rPr>
          <w:rFonts w:cs="Times New Roman"/>
        </w:rPr>
        <w:t xml:space="preserve">Critères d’imputabilité médicamenteuse </w:t>
      </w:r>
    </w:p>
    <w:p w14:paraId="3A2252A2" w14:textId="77777777" w:rsidR="00DF42D7" w:rsidRPr="00D33D10" w:rsidRDefault="00DF42D7" w:rsidP="00DF42D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La rechercher du médicament causal est basé sur </w:t>
      </w:r>
      <w:r w:rsidR="00F3371C" w:rsidRPr="00D33D10">
        <w:rPr>
          <w:rFonts w:cs="Times New Roman"/>
        </w:rPr>
        <w:t>de</w:t>
      </w:r>
      <w:r w:rsidRPr="00D33D10">
        <w:rPr>
          <w:rFonts w:cs="Times New Roman"/>
        </w:rPr>
        <w:t>s</w:t>
      </w:r>
      <w:r w:rsidR="00F3371C" w:rsidRPr="00D33D10">
        <w:rPr>
          <w:rFonts w:cs="Times New Roman"/>
        </w:rPr>
        <w:t xml:space="preserve"> </w:t>
      </w:r>
      <w:r w:rsidRPr="00D33D10">
        <w:rPr>
          <w:rFonts w:cs="Times New Roman"/>
        </w:rPr>
        <w:t>argume</w:t>
      </w:r>
      <w:r w:rsidR="00F3371C" w:rsidRPr="00D33D10">
        <w:rPr>
          <w:rFonts w:cs="Times New Roman"/>
        </w:rPr>
        <w:t>nts multi</w:t>
      </w:r>
      <w:r w:rsidRPr="00D33D10">
        <w:rPr>
          <w:rFonts w:cs="Times New Roman"/>
        </w:rPr>
        <w:t>ples dont aucun n’a de valeur absolue</w:t>
      </w:r>
    </w:p>
    <w:p w14:paraId="51C8D483" w14:textId="77777777" w:rsidR="00DF42D7" w:rsidRPr="00D33D10" w:rsidRDefault="00DF42D7" w:rsidP="00DF42D7">
      <w:pPr>
        <w:numPr>
          <w:ilvl w:val="1"/>
          <w:numId w:val="8"/>
        </w:numPr>
        <w:rPr>
          <w:rFonts w:cs="Times New Roman"/>
          <w:color w:val="ED7D31" w:themeColor="accent2"/>
        </w:rPr>
      </w:pPr>
      <w:r w:rsidRPr="00D33D10">
        <w:rPr>
          <w:rFonts w:cs="Times New Roman"/>
        </w:rPr>
        <w:t xml:space="preserve">Le degré d’imputabilité de chaque médicament se base sur des </w:t>
      </w:r>
      <w:r w:rsidRPr="00D33D10">
        <w:rPr>
          <w:rFonts w:cs="Times New Roman"/>
          <w:color w:val="ED7D31" w:themeColor="accent2"/>
        </w:rPr>
        <w:t>critères chronologiques et sémiologiques</w:t>
      </w:r>
    </w:p>
    <w:p w14:paraId="208D8041" w14:textId="77777777" w:rsidR="00DF42D7" w:rsidRPr="00D33D10" w:rsidRDefault="00DF42D7" w:rsidP="00DF42D7">
      <w:pPr>
        <w:rPr>
          <w:rFonts w:cs="Times New Roman"/>
        </w:rPr>
      </w:pPr>
      <w:r w:rsidRPr="00D33D10">
        <w:rPr>
          <w:rFonts w:cs="Times New Roman"/>
        </w:rPr>
        <w:t>Imputable chronologique</w:t>
      </w:r>
    </w:p>
    <w:p w14:paraId="6F7E0F35" w14:textId="77777777" w:rsidR="00DF42D7" w:rsidRPr="00D33D10" w:rsidRDefault="00DF42D7" w:rsidP="00DF42D7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Les délais évocateurs de l’évolution après arrêt du traitement et la récidive de la toxidermie après réintroduction (accidentelle)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9"/>
        <w:gridCol w:w="3340"/>
      </w:tblGrid>
      <w:tr w:rsidR="00DF42D7" w:rsidRPr="00D33D10" w14:paraId="5FC7DA8F" w14:textId="77777777" w:rsidTr="00DF42D7">
        <w:tc>
          <w:tcPr>
            <w:tcW w:w="3339" w:type="dxa"/>
          </w:tcPr>
          <w:p w14:paraId="521A5D0A" w14:textId="77777777" w:rsidR="00DF42D7" w:rsidRPr="00D33D10" w:rsidRDefault="00DF42D7" w:rsidP="009C25D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Toxidermie</w:t>
            </w:r>
          </w:p>
        </w:tc>
        <w:tc>
          <w:tcPr>
            <w:tcW w:w="3340" w:type="dxa"/>
          </w:tcPr>
          <w:p w14:paraId="58701AFA" w14:textId="77777777" w:rsidR="00DF42D7" w:rsidRPr="00D33D10" w:rsidRDefault="00DF42D7" w:rsidP="009C25D4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Délai d’apparition</w:t>
            </w:r>
          </w:p>
        </w:tc>
      </w:tr>
      <w:tr w:rsidR="00DF42D7" w:rsidRPr="00D33D10" w14:paraId="3E8B0195" w14:textId="77777777" w:rsidTr="00DF42D7">
        <w:tc>
          <w:tcPr>
            <w:tcW w:w="3339" w:type="dxa"/>
          </w:tcPr>
          <w:p w14:paraId="111895D1" w14:textId="77777777" w:rsidR="00DF42D7" w:rsidRPr="00D33D10" w:rsidRDefault="009C25D4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Urticaire</w:t>
            </w:r>
            <w:r w:rsidR="00DF42D7" w:rsidRPr="00D33D10">
              <w:rPr>
                <w:rFonts w:cs="Times New Roman"/>
              </w:rPr>
              <w:t>, Quincke</w:t>
            </w:r>
          </w:p>
        </w:tc>
        <w:tc>
          <w:tcPr>
            <w:tcW w:w="3340" w:type="dxa"/>
          </w:tcPr>
          <w:p w14:paraId="77381BAF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 Minute et heures</w:t>
            </w:r>
          </w:p>
        </w:tc>
      </w:tr>
      <w:tr w:rsidR="00DF42D7" w:rsidRPr="00D33D10" w14:paraId="6F6D360F" w14:textId="77777777" w:rsidTr="00DF42D7">
        <w:tc>
          <w:tcPr>
            <w:tcW w:w="3339" w:type="dxa"/>
          </w:tcPr>
          <w:p w14:paraId="75C89874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EMP</w:t>
            </w:r>
          </w:p>
        </w:tc>
        <w:tc>
          <w:tcPr>
            <w:tcW w:w="3340" w:type="dxa"/>
          </w:tcPr>
          <w:p w14:paraId="2B8D867D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4 -</w:t>
            </w:r>
            <w:r w:rsidR="009C25D4" w:rsidRPr="00D33D10">
              <w:rPr>
                <w:rFonts w:cs="Times New Roman"/>
              </w:rPr>
              <w:t xml:space="preserve"> </w:t>
            </w:r>
            <w:r w:rsidRPr="00D33D10">
              <w:rPr>
                <w:rFonts w:cs="Times New Roman"/>
              </w:rPr>
              <w:t>14 jours</w:t>
            </w:r>
          </w:p>
        </w:tc>
      </w:tr>
      <w:tr w:rsidR="00DF42D7" w:rsidRPr="00D33D10" w14:paraId="092827E9" w14:textId="77777777" w:rsidTr="00DF42D7">
        <w:tc>
          <w:tcPr>
            <w:tcW w:w="3339" w:type="dxa"/>
          </w:tcPr>
          <w:p w14:paraId="4BBFD6AF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PEAG</w:t>
            </w:r>
          </w:p>
        </w:tc>
        <w:tc>
          <w:tcPr>
            <w:tcW w:w="3340" w:type="dxa"/>
          </w:tcPr>
          <w:p w14:paraId="199BCD85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&lt; 4 jours</w:t>
            </w:r>
          </w:p>
        </w:tc>
      </w:tr>
      <w:tr w:rsidR="00DF42D7" w:rsidRPr="00D33D10" w14:paraId="33602D0D" w14:textId="77777777" w:rsidTr="00DF42D7">
        <w:tc>
          <w:tcPr>
            <w:tcW w:w="3339" w:type="dxa"/>
          </w:tcPr>
          <w:p w14:paraId="648FB8C9" w14:textId="77777777" w:rsidR="00DF42D7" w:rsidRPr="00D33D10" w:rsidRDefault="009C25D4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SSJ, sd</w:t>
            </w:r>
            <w:r w:rsidR="00DF42D7" w:rsidRPr="00D33D10">
              <w:rPr>
                <w:rFonts w:cs="Times New Roman"/>
              </w:rPr>
              <w:t xml:space="preserve"> Lyell </w:t>
            </w:r>
          </w:p>
        </w:tc>
        <w:tc>
          <w:tcPr>
            <w:tcW w:w="3340" w:type="dxa"/>
          </w:tcPr>
          <w:p w14:paraId="78B0D820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7 – 21 jours</w:t>
            </w:r>
          </w:p>
        </w:tc>
      </w:tr>
      <w:tr w:rsidR="00DF42D7" w:rsidRPr="00D33D10" w14:paraId="676F5AFD" w14:textId="77777777" w:rsidTr="00DF42D7">
        <w:tc>
          <w:tcPr>
            <w:tcW w:w="3339" w:type="dxa"/>
          </w:tcPr>
          <w:p w14:paraId="0BAD1515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EPF</w:t>
            </w:r>
          </w:p>
        </w:tc>
        <w:tc>
          <w:tcPr>
            <w:tcW w:w="3340" w:type="dxa"/>
          </w:tcPr>
          <w:p w14:paraId="0A0E7371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1 – 4 jours</w:t>
            </w:r>
          </w:p>
        </w:tc>
      </w:tr>
      <w:tr w:rsidR="00DF42D7" w:rsidRPr="00D33D10" w14:paraId="343BFBE7" w14:textId="77777777" w:rsidTr="00DF42D7">
        <w:tc>
          <w:tcPr>
            <w:tcW w:w="3339" w:type="dxa"/>
          </w:tcPr>
          <w:p w14:paraId="36028ACE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DRESSE SD </w:t>
            </w:r>
          </w:p>
        </w:tc>
        <w:tc>
          <w:tcPr>
            <w:tcW w:w="3340" w:type="dxa"/>
          </w:tcPr>
          <w:p w14:paraId="1A93D415" w14:textId="77777777" w:rsidR="00DF42D7" w:rsidRPr="00D33D10" w:rsidRDefault="00DF42D7" w:rsidP="00DF42D7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2- 6 semaines</w:t>
            </w:r>
          </w:p>
        </w:tc>
      </w:tr>
    </w:tbl>
    <w:p w14:paraId="7C3B9153" w14:textId="77777777" w:rsidR="00DF42D7" w:rsidRPr="00D33D10" w:rsidRDefault="00DF42D7" w:rsidP="00DF42D7">
      <w:pPr>
        <w:numPr>
          <w:ilvl w:val="0"/>
          <w:numId w:val="0"/>
        </w:numPr>
        <w:rPr>
          <w:rFonts w:cs="Times New Roman"/>
          <w:color w:val="ED7D31" w:themeColor="accent2"/>
        </w:rPr>
      </w:pPr>
    </w:p>
    <w:p w14:paraId="14431723" w14:textId="77777777" w:rsidR="005571F1" w:rsidRPr="00D33D10" w:rsidRDefault="005571F1" w:rsidP="005571F1">
      <w:pPr>
        <w:rPr>
          <w:rFonts w:cs="Times New Roman"/>
        </w:rPr>
      </w:pPr>
      <w:r w:rsidRPr="00D33D10">
        <w:rPr>
          <w:rFonts w:cs="Times New Roman"/>
        </w:rPr>
        <w:t>Imputabilité sémiologique</w:t>
      </w:r>
    </w:p>
    <w:p w14:paraId="6CDB6876" w14:textId="77777777" w:rsidR="005571F1" w:rsidRPr="00D33D10" w:rsidRDefault="005571F1" w:rsidP="005571F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Une clinique compatible</w:t>
      </w:r>
    </w:p>
    <w:p w14:paraId="38437366" w14:textId="77777777" w:rsidR="005571F1" w:rsidRPr="00D33D10" w:rsidRDefault="005571F1" w:rsidP="005571F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L’identification de facteurs favorisant (VIH EBV, VZV)</w:t>
      </w:r>
    </w:p>
    <w:p w14:paraId="0EAEE5B3" w14:textId="77777777" w:rsidR="005571F1" w:rsidRPr="00D33D10" w:rsidRDefault="005571F1" w:rsidP="005571F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Un antécédent de toxidermie</w:t>
      </w:r>
    </w:p>
    <w:p w14:paraId="66AECF1A" w14:textId="77777777" w:rsidR="005571F1" w:rsidRPr="00D33D10" w:rsidRDefault="005571F1" w:rsidP="005571F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L’exclusion des autres diagnostics cliniques</w:t>
      </w:r>
    </w:p>
    <w:p w14:paraId="5B4C18CC" w14:textId="77777777" w:rsidR="005571F1" w:rsidRPr="00D33D10" w:rsidRDefault="005571F1" w:rsidP="005571F1">
      <w:pPr>
        <w:rPr>
          <w:rFonts w:cs="Times New Roman"/>
        </w:rPr>
      </w:pPr>
      <w:r w:rsidRPr="00D33D10">
        <w:rPr>
          <w:rFonts w:cs="Times New Roman"/>
          <w:color w:val="ED7D31" w:themeColor="accent2"/>
        </w:rPr>
        <w:t>Les données bibliographiques et la connaissance des médicaments fréquemment responsables</w:t>
      </w:r>
      <w:r w:rsidRPr="00D33D10">
        <w:rPr>
          <w:rFonts w:cs="Times New Roman"/>
        </w:rPr>
        <w:t xml:space="preserve"> d’un type donné de toxidermie sont des éléments </w:t>
      </w:r>
      <w:r w:rsidRPr="00D33D10">
        <w:rPr>
          <w:rFonts w:cs="Times New Roman"/>
        </w:rPr>
        <w:lastRenderedPageBreak/>
        <w:t xml:space="preserve">qui permettent d’affiner le degré d’imputabilité d’un médicament donnée chez un patient qui en prend plusieurs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40"/>
        <w:gridCol w:w="1095"/>
        <w:gridCol w:w="1534"/>
        <w:gridCol w:w="1305"/>
        <w:gridCol w:w="1305"/>
      </w:tblGrid>
      <w:tr w:rsidR="003C5CD1" w:rsidRPr="00D33D10" w14:paraId="76AFD0C3" w14:textId="77777777" w:rsidTr="003C5CD1">
        <w:tc>
          <w:tcPr>
            <w:tcW w:w="1335" w:type="dxa"/>
          </w:tcPr>
          <w:p w14:paraId="116029B9" w14:textId="77777777"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EMP</w:t>
            </w:r>
          </w:p>
        </w:tc>
        <w:tc>
          <w:tcPr>
            <w:tcW w:w="1336" w:type="dxa"/>
          </w:tcPr>
          <w:p w14:paraId="312D48FE" w14:textId="77777777"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Urticaire</w:t>
            </w:r>
          </w:p>
        </w:tc>
        <w:tc>
          <w:tcPr>
            <w:tcW w:w="1336" w:type="dxa"/>
          </w:tcPr>
          <w:p w14:paraId="31560740" w14:textId="77777777"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PEAG</w:t>
            </w:r>
          </w:p>
        </w:tc>
        <w:tc>
          <w:tcPr>
            <w:tcW w:w="1336" w:type="dxa"/>
          </w:tcPr>
          <w:p w14:paraId="4C60E6F5" w14:textId="77777777"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SJS, Lyell</w:t>
            </w:r>
          </w:p>
        </w:tc>
        <w:tc>
          <w:tcPr>
            <w:tcW w:w="1336" w:type="dxa"/>
          </w:tcPr>
          <w:p w14:paraId="3C89347F" w14:textId="77777777" w:rsidR="003C5CD1" w:rsidRPr="00D33D10" w:rsidRDefault="003C5CD1" w:rsidP="003C5CD1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D33D10">
              <w:rPr>
                <w:rFonts w:cs="Times New Roman"/>
                <w:b/>
              </w:rPr>
              <w:t>DRESSE Syndrom</w:t>
            </w:r>
          </w:p>
        </w:tc>
      </w:tr>
      <w:tr w:rsidR="003C5CD1" w:rsidRPr="00D33D10" w14:paraId="4AFE4725" w14:textId="77777777" w:rsidTr="003C5CD1">
        <w:tc>
          <w:tcPr>
            <w:tcW w:w="1335" w:type="dxa"/>
          </w:tcPr>
          <w:p w14:paraId="51E8C6DE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Antibiotique</w:t>
            </w:r>
          </w:p>
          <w:p w14:paraId="6A222091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Sulfamides </w:t>
            </w:r>
          </w:p>
          <w:p w14:paraId="3A48466C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Sels d’or</w:t>
            </w:r>
          </w:p>
          <w:p w14:paraId="01C27EB8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Anticomitiaux</w:t>
            </w:r>
          </w:p>
          <w:p w14:paraId="1D841863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Antituberculeux</w:t>
            </w:r>
          </w:p>
        </w:tc>
        <w:tc>
          <w:tcPr>
            <w:tcW w:w="1336" w:type="dxa"/>
          </w:tcPr>
          <w:p w14:paraId="6FA842A4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Pénicillines</w:t>
            </w:r>
          </w:p>
          <w:p w14:paraId="251172A9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 xml:space="preserve">Produits de contraste iodés </w:t>
            </w:r>
          </w:p>
        </w:tc>
        <w:tc>
          <w:tcPr>
            <w:tcW w:w="1336" w:type="dxa"/>
          </w:tcPr>
          <w:p w14:paraId="29687238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Aminopénicilline</w:t>
            </w:r>
          </w:p>
          <w:p w14:paraId="26F2AA5C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Diltiazen</w:t>
            </w:r>
          </w:p>
          <w:p w14:paraId="467E40FF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Pristinamycine</w:t>
            </w:r>
          </w:p>
        </w:tc>
        <w:tc>
          <w:tcPr>
            <w:tcW w:w="1336" w:type="dxa"/>
          </w:tcPr>
          <w:p w14:paraId="74904B9A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Sulfamides</w:t>
            </w:r>
          </w:p>
          <w:p w14:paraId="5EB15266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Anticomitiaux</w:t>
            </w:r>
          </w:p>
          <w:p w14:paraId="53B2EBD8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AINS</w:t>
            </w:r>
          </w:p>
          <w:p w14:paraId="120EA0AD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Allopurinol</w:t>
            </w:r>
          </w:p>
          <w:p w14:paraId="5636D334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Névirapine</w:t>
            </w:r>
          </w:p>
        </w:tc>
        <w:tc>
          <w:tcPr>
            <w:tcW w:w="1336" w:type="dxa"/>
          </w:tcPr>
          <w:p w14:paraId="1051613D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Anticomitiaux</w:t>
            </w:r>
          </w:p>
          <w:p w14:paraId="1D0C117E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Sulfamides</w:t>
            </w:r>
          </w:p>
          <w:p w14:paraId="7307C851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IEC</w:t>
            </w:r>
          </w:p>
          <w:p w14:paraId="0C9CB873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Minocycline</w:t>
            </w:r>
          </w:p>
          <w:p w14:paraId="735CD257" w14:textId="77777777" w:rsidR="003C5CD1" w:rsidRPr="00D33D10" w:rsidRDefault="003C5CD1" w:rsidP="003C5CD1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D33D10">
              <w:rPr>
                <w:rFonts w:cs="Times New Roman"/>
              </w:rPr>
              <w:t>Allopurinol</w:t>
            </w:r>
          </w:p>
        </w:tc>
      </w:tr>
    </w:tbl>
    <w:p w14:paraId="17FC33E1" w14:textId="77777777" w:rsidR="003C5CD1" w:rsidRPr="00D33D10" w:rsidRDefault="003C5CD1" w:rsidP="003C5CD1">
      <w:pPr>
        <w:numPr>
          <w:ilvl w:val="0"/>
          <w:numId w:val="0"/>
        </w:numPr>
        <w:rPr>
          <w:rFonts w:cs="Times New Roman"/>
        </w:rPr>
      </w:pPr>
    </w:p>
    <w:p w14:paraId="415F059F" w14:textId="77777777" w:rsidR="00DF42D7" w:rsidRPr="00D33D10" w:rsidRDefault="003C5CD1" w:rsidP="003C5CD1">
      <w:pPr>
        <w:pStyle w:val="Titre3"/>
        <w:rPr>
          <w:rFonts w:cs="Times New Roman"/>
        </w:rPr>
      </w:pPr>
      <w:bookmarkStart w:id="12" w:name="_Toc197050026"/>
      <w:bookmarkStart w:id="13" w:name="_Toc199845207"/>
      <w:r w:rsidRPr="00D33D10">
        <w:rPr>
          <w:rFonts w:cs="Times New Roman"/>
        </w:rPr>
        <w:t>Gravité</w:t>
      </w:r>
      <w:bookmarkEnd w:id="12"/>
      <w:bookmarkEnd w:id="13"/>
    </w:p>
    <w:p w14:paraId="75677827" w14:textId="77777777" w:rsidR="003C5CD1" w:rsidRPr="00D33D10" w:rsidRDefault="0058285B" w:rsidP="003C5CD1">
      <w:pPr>
        <w:rPr>
          <w:rFonts w:cs="Times New Roman"/>
        </w:rPr>
      </w:pPr>
      <w:r w:rsidRPr="00D33D10">
        <w:rPr>
          <w:rFonts w:cs="Times New Roman"/>
        </w:rPr>
        <w:t>Critères</w:t>
      </w:r>
      <w:r w:rsidR="003C5CD1" w:rsidRPr="00D33D10">
        <w:rPr>
          <w:rFonts w:cs="Times New Roman"/>
        </w:rPr>
        <w:t xml:space="preserve"> de gravité d’une gravité</w:t>
      </w:r>
    </w:p>
    <w:p w14:paraId="1D7976BE" w14:textId="77777777" w:rsidR="003C5CD1" w:rsidRPr="00D33D10" w:rsidRDefault="0058285B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Infiltration </w:t>
      </w:r>
      <w:r w:rsidR="003C5CD1" w:rsidRPr="00D33D10">
        <w:rPr>
          <w:rFonts w:cs="Times New Roman"/>
        </w:rPr>
        <w:t xml:space="preserve">de </w:t>
      </w:r>
      <w:r w:rsidRPr="00D33D10">
        <w:rPr>
          <w:rFonts w:cs="Times New Roman"/>
        </w:rPr>
        <w:t>lésion</w:t>
      </w:r>
      <w:r w:rsidR="003C5CD1" w:rsidRPr="00D33D10">
        <w:rPr>
          <w:rFonts w:cs="Times New Roman"/>
        </w:rPr>
        <w:t xml:space="preserve"> </w:t>
      </w:r>
    </w:p>
    <w:p w14:paraId="57CD1331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Œdème du </w:t>
      </w:r>
      <w:r w:rsidR="0058285B" w:rsidRPr="00D33D10">
        <w:rPr>
          <w:rFonts w:cs="Times New Roman"/>
        </w:rPr>
        <w:t>visage</w:t>
      </w:r>
    </w:p>
    <w:p w14:paraId="7166132B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Diffusion d’érythème </w:t>
      </w:r>
    </w:p>
    <w:p w14:paraId="73FA46B0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Fièvre</w:t>
      </w:r>
    </w:p>
    <w:p w14:paraId="6376C7B2" w14:textId="77777777" w:rsidR="003C5CD1" w:rsidRPr="00D33D10" w:rsidRDefault="0058285B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Poly adénopathie</w:t>
      </w:r>
    </w:p>
    <w:p w14:paraId="5ED7D7F2" w14:textId="77777777" w:rsidR="003C5CD1" w:rsidRPr="00D33D10" w:rsidRDefault="003C5CD1" w:rsidP="003C5CD1">
      <w:pPr>
        <w:numPr>
          <w:ilvl w:val="0"/>
          <w:numId w:val="0"/>
        </w:numPr>
        <w:ind w:left="284"/>
        <w:rPr>
          <w:rFonts w:cs="Times New Roman"/>
        </w:rPr>
      </w:pPr>
    </w:p>
    <w:p w14:paraId="1984486A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Douleurs cutanées ou muqueuses intenses </w:t>
      </w:r>
    </w:p>
    <w:p w14:paraId="02DADAC3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Erosion de muqueuse </w:t>
      </w:r>
    </w:p>
    <w:p w14:paraId="21070C8F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Signe de Nikolsky </w:t>
      </w:r>
    </w:p>
    <w:p w14:paraId="267999C1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Purpura ou nécrose</w:t>
      </w:r>
    </w:p>
    <w:p w14:paraId="220C3664" w14:textId="77777777" w:rsidR="003C5CD1" w:rsidRPr="00D33D10" w:rsidRDefault="003C5CD1" w:rsidP="003C5CD1">
      <w:pPr>
        <w:pStyle w:val="Titre3"/>
        <w:rPr>
          <w:rFonts w:cs="Times New Roman"/>
        </w:rPr>
      </w:pPr>
      <w:bookmarkStart w:id="14" w:name="_Toc197050027"/>
      <w:bookmarkStart w:id="15" w:name="_Toc199845208"/>
      <w:r w:rsidRPr="00D33D10">
        <w:rPr>
          <w:rFonts w:cs="Times New Roman"/>
        </w:rPr>
        <w:t>Différentiels</w:t>
      </w:r>
      <w:bookmarkEnd w:id="14"/>
      <w:bookmarkEnd w:id="15"/>
    </w:p>
    <w:p w14:paraId="498F536C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EMP : éliminer une infection virale de l’enfant </w:t>
      </w:r>
    </w:p>
    <w:p w14:paraId="1A803FD0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Le contage </w:t>
      </w:r>
    </w:p>
    <w:p w14:paraId="451CBF6A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S sd infectieux </w:t>
      </w:r>
    </w:p>
    <w:p w14:paraId="7AE82FD4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L’énanthème </w:t>
      </w:r>
    </w:p>
    <w:p w14:paraId="387FCE8E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Le monomorphisme de l’exanthème</w:t>
      </w:r>
    </w:p>
    <w:p w14:paraId="1A23DEDA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>Photosensibilité « endogène » :</w:t>
      </w:r>
    </w:p>
    <w:p w14:paraId="6D290CB0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Métabolique (porphyries)</w:t>
      </w:r>
    </w:p>
    <w:p w14:paraId="5AD89E51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Lupus érythémateux </w:t>
      </w:r>
    </w:p>
    <w:p w14:paraId="433E764C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Idiopathique (allergie solaire)</w:t>
      </w:r>
    </w:p>
    <w:p w14:paraId="4E4D1887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Photosensi</w:t>
      </w:r>
      <w:r w:rsidR="00AD5EA5" w:rsidRPr="00D33D10">
        <w:rPr>
          <w:rFonts w:cs="Times New Roman"/>
        </w:rPr>
        <w:t>bilité de contact (plante, par</w:t>
      </w:r>
      <w:r w:rsidRPr="00D33D10">
        <w:rPr>
          <w:rFonts w:cs="Times New Roman"/>
        </w:rPr>
        <w:t>f</w:t>
      </w:r>
      <w:r w:rsidR="00AD5EA5" w:rsidRPr="00D33D10">
        <w:rPr>
          <w:rFonts w:cs="Times New Roman"/>
        </w:rPr>
        <w:t>um</w:t>
      </w:r>
      <w:r w:rsidRPr="00D33D10">
        <w:rPr>
          <w:rFonts w:cs="Times New Roman"/>
        </w:rPr>
        <w:t>,</w:t>
      </w:r>
      <w:r w:rsidR="00AD5EA5" w:rsidRPr="00D33D10">
        <w:rPr>
          <w:rFonts w:cs="Times New Roman"/>
        </w:rPr>
        <w:t xml:space="preserve"> </w:t>
      </w:r>
      <w:r w:rsidR="000114F8" w:rsidRPr="00D33D10">
        <w:rPr>
          <w:rFonts w:cs="Times New Roman"/>
        </w:rPr>
        <w:t>topique,</w:t>
      </w:r>
      <w:r w:rsidRPr="00D33D10">
        <w:rPr>
          <w:rFonts w:cs="Times New Roman"/>
        </w:rPr>
        <w:t xml:space="preserve"> </w:t>
      </w:r>
      <w:r w:rsidR="00AD5EA5" w:rsidRPr="00D33D10">
        <w:rPr>
          <w:rFonts w:cs="Times New Roman"/>
        </w:rPr>
        <w:t>médicateur</w:t>
      </w:r>
      <w:r w:rsidRPr="00D33D10">
        <w:rPr>
          <w:rFonts w:cs="Times New Roman"/>
        </w:rPr>
        <w:t>)</w:t>
      </w:r>
    </w:p>
    <w:p w14:paraId="7EB2C17D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>PEAG</w:t>
      </w:r>
    </w:p>
    <w:p w14:paraId="2AB5DF6F" w14:textId="77777777" w:rsidR="003C5CD1" w:rsidRPr="00D33D10" w:rsidRDefault="0058285B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</w:t>
      </w:r>
      <w:r w:rsidR="003C5CD1" w:rsidRPr="00D33D10">
        <w:rPr>
          <w:rFonts w:cs="Times New Roman"/>
        </w:rPr>
        <w:t xml:space="preserve"> </w:t>
      </w:r>
      <w:r w:rsidR="000114F8" w:rsidRPr="00D33D10">
        <w:rPr>
          <w:rFonts w:cs="Times New Roman"/>
        </w:rPr>
        <w:t>pustuleuse</w:t>
      </w:r>
      <w:r w:rsidR="003C5CD1" w:rsidRPr="00D33D10">
        <w:rPr>
          <w:rFonts w:cs="Times New Roman"/>
        </w:rPr>
        <w:t xml:space="preserve"> se </w:t>
      </w:r>
      <w:r w:rsidR="00AD5EA5" w:rsidRPr="00D33D10">
        <w:rPr>
          <w:rFonts w:cs="Times New Roman"/>
        </w:rPr>
        <w:t>distingue de la PEAG par</w:t>
      </w:r>
    </w:p>
    <w:p w14:paraId="1E496517" w14:textId="77777777" w:rsidR="003C5CD1" w:rsidRPr="00D33D10" w:rsidRDefault="003C5CD1" w:rsidP="003C5CD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Un</w:t>
      </w:r>
      <w:r w:rsidR="000114F8" w:rsidRPr="00D33D10">
        <w:rPr>
          <w:rFonts w:cs="Times New Roman"/>
        </w:rPr>
        <w:t xml:space="preserve"> dé</w:t>
      </w:r>
      <w:r w:rsidRPr="00D33D10">
        <w:rPr>
          <w:rFonts w:cs="Times New Roman"/>
        </w:rPr>
        <w:t>bu</w:t>
      </w:r>
      <w:r w:rsidR="000114F8" w:rsidRPr="00D33D10">
        <w:rPr>
          <w:rFonts w:cs="Times New Roman"/>
        </w:rPr>
        <w:t>t moins b</w:t>
      </w:r>
      <w:r w:rsidRPr="00D33D10">
        <w:rPr>
          <w:rFonts w:cs="Times New Roman"/>
        </w:rPr>
        <w:t>r</w:t>
      </w:r>
      <w:r w:rsidR="000114F8" w:rsidRPr="00D33D10">
        <w:rPr>
          <w:rFonts w:cs="Times New Roman"/>
        </w:rPr>
        <w:t>utal</w:t>
      </w:r>
    </w:p>
    <w:p w14:paraId="00B7ECF0" w14:textId="77777777" w:rsidR="003C5CD1" w:rsidRPr="00D33D10" w:rsidRDefault="003C5CD1" w:rsidP="003C5CD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>Un</w:t>
      </w:r>
      <w:r w:rsidR="000114F8" w:rsidRPr="00D33D10">
        <w:rPr>
          <w:rFonts w:cs="Times New Roman"/>
        </w:rPr>
        <w:t>e évolution</w:t>
      </w:r>
      <w:r w:rsidRPr="00D33D10">
        <w:rPr>
          <w:rFonts w:cs="Times New Roman"/>
        </w:rPr>
        <w:t xml:space="preserve"> plus </w:t>
      </w:r>
      <w:r w:rsidR="000114F8" w:rsidRPr="00D33D10">
        <w:rPr>
          <w:rFonts w:cs="Times New Roman"/>
        </w:rPr>
        <w:t>prolongées</w:t>
      </w:r>
      <w:r w:rsidRPr="00D33D10">
        <w:rPr>
          <w:rFonts w:cs="Times New Roman"/>
        </w:rPr>
        <w:t xml:space="preserve"> </w:t>
      </w:r>
    </w:p>
    <w:p w14:paraId="2B0974E7" w14:textId="77777777" w:rsidR="003C5CD1" w:rsidRPr="00D33D10" w:rsidRDefault="003C5CD1" w:rsidP="003C5CD1">
      <w:pPr>
        <w:numPr>
          <w:ilvl w:val="2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Des </w:t>
      </w:r>
      <w:r w:rsidR="000114F8" w:rsidRPr="00D33D10">
        <w:rPr>
          <w:rFonts w:cs="Times New Roman"/>
        </w:rPr>
        <w:t>aspects un peu différents</w:t>
      </w:r>
      <w:r w:rsidRPr="00D33D10">
        <w:rPr>
          <w:rFonts w:cs="Times New Roman"/>
        </w:rPr>
        <w:t xml:space="preserve"> </w:t>
      </w:r>
    </w:p>
    <w:p w14:paraId="24D680DC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DRESS sd les autres </w:t>
      </w:r>
      <w:r w:rsidR="000114F8" w:rsidRPr="00D33D10">
        <w:rPr>
          <w:rFonts w:cs="Times New Roman"/>
        </w:rPr>
        <w:t>cause</w:t>
      </w:r>
      <w:r w:rsidRPr="00D33D10">
        <w:rPr>
          <w:rFonts w:cs="Times New Roman"/>
        </w:rPr>
        <w:t xml:space="preserve"> d’</w:t>
      </w:r>
      <w:r w:rsidR="000114F8" w:rsidRPr="00D33D10">
        <w:rPr>
          <w:rFonts w:cs="Times New Roman"/>
        </w:rPr>
        <w:t>érythrodermie</w:t>
      </w:r>
      <w:r w:rsidRPr="00D33D10">
        <w:rPr>
          <w:rFonts w:cs="Times New Roman"/>
        </w:rPr>
        <w:t xml:space="preserve"> </w:t>
      </w:r>
    </w:p>
    <w:p w14:paraId="541A4D14" w14:textId="77777777" w:rsidR="003C5CD1" w:rsidRPr="00D33D10" w:rsidRDefault="00AD5EA5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Psoriasis</w:t>
      </w:r>
      <w:r w:rsidR="003C5CD1" w:rsidRPr="00D33D10">
        <w:rPr>
          <w:rFonts w:cs="Times New Roman"/>
        </w:rPr>
        <w:t xml:space="preserve"> </w:t>
      </w:r>
    </w:p>
    <w:p w14:paraId="100BCF99" w14:textId="77777777" w:rsidR="003C5CD1" w:rsidRPr="00D33D10" w:rsidRDefault="00AD5EA5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Dermatite</w:t>
      </w:r>
      <w:r w:rsidR="003C5CD1" w:rsidRPr="00D33D10">
        <w:rPr>
          <w:rFonts w:cs="Times New Roman"/>
        </w:rPr>
        <w:t xml:space="preserve"> de conta c </w:t>
      </w:r>
    </w:p>
    <w:p w14:paraId="3027DBC7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lastRenderedPageBreak/>
        <w:t>Lymphomes T cutané (</w:t>
      </w:r>
      <w:r w:rsidR="00AD5EA5" w:rsidRPr="00D33D10">
        <w:rPr>
          <w:rFonts w:cs="Times New Roman"/>
        </w:rPr>
        <w:t>mycose</w:t>
      </w:r>
      <w:r w:rsidRPr="00D33D10">
        <w:rPr>
          <w:rFonts w:cs="Times New Roman"/>
        </w:rPr>
        <w:t xml:space="preserve"> </w:t>
      </w:r>
      <w:r w:rsidR="00AD5EA5" w:rsidRPr="00D33D10">
        <w:rPr>
          <w:rFonts w:cs="Times New Roman"/>
        </w:rPr>
        <w:t>fongoïde</w:t>
      </w:r>
      <w:r w:rsidRPr="00D33D10">
        <w:rPr>
          <w:rFonts w:cs="Times New Roman"/>
        </w:rPr>
        <w:t xml:space="preserve"> et sd de Sézary</w:t>
      </w:r>
    </w:p>
    <w:p w14:paraId="042727CE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Ecartées par </w:t>
      </w:r>
      <w:r w:rsidR="00AD5EA5" w:rsidRPr="00D33D10">
        <w:rPr>
          <w:rFonts w:cs="Times New Roman"/>
        </w:rPr>
        <w:t>l’anamnèse,</w:t>
      </w:r>
      <w:r w:rsidRPr="00D33D10">
        <w:rPr>
          <w:rFonts w:cs="Times New Roman"/>
        </w:rPr>
        <w:t xml:space="preserve"> l’histologie </w:t>
      </w:r>
      <w:r w:rsidR="00AD5EA5" w:rsidRPr="00D33D10">
        <w:rPr>
          <w:rFonts w:cs="Times New Roman"/>
        </w:rPr>
        <w:t>cutanée</w:t>
      </w:r>
      <w:r w:rsidRPr="00D33D10">
        <w:rPr>
          <w:rFonts w:cs="Times New Roman"/>
        </w:rPr>
        <w:t xml:space="preserve"> et le NFS</w:t>
      </w:r>
    </w:p>
    <w:p w14:paraId="6D2EBA63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>Les SSJ : l’érythème polymorphe majeur</w:t>
      </w:r>
    </w:p>
    <w:p w14:paraId="34B15CC7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éruptive en « concordes » ou « cibles »</w:t>
      </w:r>
    </w:p>
    <w:p w14:paraId="13411F07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Distribution acrale (coudes, </w:t>
      </w:r>
      <w:r w:rsidR="00AD5EA5" w:rsidRPr="00D33D10">
        <w:rPr>
          <w:rFonts w:cs="Times New Roman"/>
        </w:rPr>
        <w:t>genou</w:t>
      </w:r>
      <w:r w:rsidRPr="00D33D10">
        <w:rPr>
          <w:rFonts w:cs="Times New Roman"/>
        </w:rPr>
        <w:t xml:space="preserve">, </w:t>
      </w:r>
      <w:r w:rsidR="00AD5EA5" w:rsidRPr="00D33D10">
        <w:rPr>
          <w:rFonts w:cs="Times New Roman"/>
        </w:rPr>
        <w:t>mains,</w:t>
      </w:r>
      <w:r w:rsidRPr="00D33D10">
        <w:rPr>
          <w:rFonts w:cs="Times New Roman"/>
        </w:rPr>
        <w:t xml:space="preserve"> pieds, visage à</w:t>
      </w:r>
    </w:p>
    <w:p w14:paraId="44501620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Lésion érosive muqueuse (définissant l’érythème polymorphe majeur</w:t>
      </w:r>
    </w:p>
    <w:p w14:paraId="4F6DA782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 xml:space="preserve">Fréquence de récidives </w:t>
      </w:r>
    </w:p>
    <w:p w14:paraId="3CC016EB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La nécrose épidémique toxique </w:t>
      </w:r>
    </w:p>
    <w:p w14:paraId="303C1668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Epidemolyse staphylococcique (nourrisson)</w:t>
      </w:r>
    </w:p>
    <w:p w14:paraId="0C344FE1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Dermatose bulleuse auto immune (pas de nécr</w:t>
      </w:r>
      <w:r w:rsidR="00AD5EA5" w:rsidRPr="00D33D10">
        <w:rPr>
          <w:rFonts w:cs="Times New Roman"/>
        </w:rPr>
        <w:t>o</w:t>
      </w:r>
      <w:r w:rsidRPr="00D33D10">
        <w:rPr>
          <w:rFonts w:cs="Times New Roman"/>
        </w:rPr>
        <w:t>se de l’épiderme, dépôts d’Ac en IFD</w:t>
      </w:r>
    </w:p>
    <w:p w14:paraId="4DE911C7" w14:textId="77777777" w:rsidR="003C5CD1" w:rsidRPr="00D33D10" w:rsidRDefault="003C5CD1" w:rsidP="003C5CD1">
      <w:pPr>
        <w:numPr>
          <w:ilvl w:val="1"/>
          <w:numId w:val="8"/>
        </w:numPr>
        <w:rPr>
          <w:rFonts w:cs="Times New Roman"/>
        </w:rPr>
      </w:pPr>
      <w:r w:rsidRPr="00D33D10">
        <w:rPr>
          <w:rFonts w:cs="Times New Roman"/>
        </w:rPr>
        <w:t>Brûlures (absence de lésion muqueuse s, nécrose cutanée de profondeur variable)</w:t>
      </w:r>
    </w:p>
    <w:p w14:paraId="015BCB20" w14:textId="77777777" w:rsidR="003C5CD1" w:rsidRPr="00D33D10" w:rsidRDefault="003C5CD1" w:rsidP="003C5CD1">
      <w:pPr>
        <w:pStyle w:val="Titre2"/>
        <w:rPr>
          <w:rFonts w:cs="Times New Roman"/>
        </w:rPr>
      </w:pPr>
      <w:bookmarkStart w:id="16" w:name="_Toc197050028"/>
      <w:bookmarkStart w:id="17" w:name="_Toc199845209"/>
      <w:r w:rsidRPr="00D33D10">
        <w:rPr>
          <w:rFonts w:cs="Times New Roman"/>
        </w:rPr>
        <w:t>Traitement</w:t>
      </w:r>
      <w:bookmarkEnd w:id="16"/>
      <w:bookmarkEnd w:id="17"/>
    </w:p>
    <w:p w14:paraId="398C3735" w14:textId="77777777" w:rsidR="003C5CD1" w:rsidRPr="00D33D10" w:rsidRDefault="003C5CD1" w:rsidP="003C5CD1">
      <w:pPr>
        <w:pStyle w:val="Titre3"/>
        <w:rPr>
          <w:rFonts w:cs="Times New Roman"/>
        </w:rPr>
      </w:pPr>
      <w:bookmarkStart w:id="18" w:name="_Toc197050029"/>
      <w:bookmarkStart w:id="19" w:name="_Toc199845210"/>
      <w:r w:rsidRPr="00D33D10">
        <w:rPr>
          <w:rFonts w:cs="Times New Roman"/>
        </w:rPr>
        <w:t>Buts</w:t>
      </w:r>
      <w:bookmarkEnd w:id="18"/>
      <w:bookmarkEnd w:id="19"/>
      <w:r w:rsidRPr="00D33D10">
        <w:rPr>
          <w:rFonts w:cs="Times New Roman"/>
        </w:rPr>
        <w:t xml:space="preserve"> </w:t>
      </w:r>
    </w:p>
    <w:p w14:paraId="532EC904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Soulager </w:t>
      </w:r>
      <w:r w:rsidR="003F4621" w:rsidRPr="00D33D10">
        <w:rPr>
          <w:rFonts w:cs="Times New Roman"/>
        </w:rPr>
        <w:t>le patient</w:t>
      </w:r>
    </w:p>
    <w:p w14:paraId="44E27ED0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Eviter </w:t>
      </w:r>
      <w:r w:rsidR="003F4621" w:rsidRPr="00D33D10">
        <w:rPr>
          <w:rFonts w:cs="Times New Roman"/>
        </w:rPr>
        <w:t>les formes</w:t>
      </w:r>
      <w:r w:rsidRPr="00D33D10">
        <w:rPr>
          <w:rFonts w:cs="Times New Roman"/>
        </w:rPr>
        <w:t xml:space="preserve"> grave </w:t>
      </w:r>
    </w:p>
    <w:p w14:paraId="4027BBAB" w14:textId="77777777" w:rsidR="003C5CD1" w:rsidRPr="00D33D10" w:rsidRDefault="003C5CD1" w:rsidP="003C5CD1">
      <w:pPr>
        <w:rPr>
          <w:rFonts w:cs="Times New Roman"/>
        </w:rPr>
      </w:pPr>
      <w:r w:rsidRPr="00D33D10">
        <w:rPr>
          <w:rFonts w:cs="Times New Roman"/>
        </w:rPr>
        <w:t xml:space="preserve">Eviter une réintroduction </w:t>
      </w:r>
    </w:p>
    <w:p w14:paraId="4F575B3F" w14:textId="77777777" w:rsidR="003F4621" w:rsidRPr="00D33D10" w:rsidRDefault="003F4621" w:rsidP="003F4621">
      <w:pPr>
        <w:pStyle w:val="Titre3"/>
        <w:rPr>
          <w:rFonts w:cs="Times New Roman"/>
        </w:rPr>
      </w:pPr>
      <w:bookmarkStart w:id="20" w:name="_Toc197050030"/>
      <w:bookmarkStart w:id="21" w:name="_Toc199845211"/>
      <w:r w:rsidRPr="00D33D10">
        <w:rPr>
          <w:rFonts w:cs="Times New Roman"/>
        </w:rPr>
        <w:t>Moyens</w:t>
      </w:r>
      <w:bookmarkEnd w:id="20"/>
      <w:bookmarkEnd w:id="21"/>
      <w:r w:rsidRPr="00D33D10">
        <w:rPr>
          <w:rFonts w:cs="Times New Roman"/>
        </w:rPr>
        <w:t xml:space="preserve"> </w:t>
      </w:r>
    </w:p>
    <w:p w14:paraId="65546EB4" w14:textId="77777777" w:rsidR="003F4621" w:rsidRPr="00D33D10" w:rsidRDefault="003F4621" w:rsidP="003F4621">
      <w:pPr>
        <w:pStyle w:val="Titre4"/>
        <w:rPr>
          <w:rFonts w:cs="Times New Roman"/>
        </w:rPr>
      </w:pPr>
      <w:r w:rsidRPr="00D33D10">
        <w:rPr>
          <w:rFonts w:cs="Times New Roman"/>
        </w:rPr>
        <w:t xml:space="preserve">Non médicamenteux </w:t>
      </w:r>
    </w:p>
    <w:p w14:paraId="7327E207" w14:textId="77777777"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Arrêt immédiat du médicament suspect </w:t>
      </w:r>
    </w:p>
    <w:p w14:paraId="5C17234C" w14:textId="77777777"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Surveillance et ou hospitalisation </w:t>
      </w:r>
    </w:p>
    <w:p w14:paraId="7EB20514" w14:textId="77777777"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Notification au service de pharmacovigilance </w:t>
      </w:r>
    </w:p>
    <w:p w14:paraId="0E79D4BE" w14:textId="77777777" w:rsidR="003F4621" w:rsidRPr="00D33D10" w:rsidRDefault="003F4621" w:rsidP="003F4621">
      <w:pPr>
        <w:pStyle w:val="Titre4"/>
        <w:rPr>
          <w:rFonts w:cs="Times New Roman"/>
        </w:rPr>
      </w:pPr>
      <w:r w:rsidRPr="00D33D10">
        <w:rPr>
          <w:rFonts w:cs="Times New Roman"/>
        </w:rPr>
        <w:t>Médicamenteux</w:t>
      </w:r>
    </w:p>
    <w:p w14:paraId="72E335E4" w14:textId="77777777"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Soins locaux </w:t>
      </w:r>
      <w:r w:rsidR="00AD5EA5" w:rsidRPr="00D33D10">
        <w:rPr>
          <w:rFonts w:cs="Times New Roman"/>
        </w:rPr>
        <w:t>cutanéomuqueuse</w:t>
      </w:r>
      <w:r w:rsidRPr="00D33D10">
        <w:rPr>
          <w:rFonts w:cs="Times New Roman"/>
        </w:rPr>
        <w:t xml:space="preserve"> (</w:t>
      </w:r>
      <w:r w:rsidR="00AD5EA5" w:rsidRPr="00D33D10">
        <w:rPr>
          <w:rFonts w:cs="Times New Roman"/>
        </w:rPr>
        <w:t>mouillent</w:t>
      </w:r>
      <w:r w:rsidRPr="00D33D10">
        <w:rPr>
          <w:rFonts w:cs="Times New Roman"/>
        </w:rPr>
        <w:t>)</w:t>
      </w:r>
    </w:p>
    <w:p w14:paraId="119766DD" w14:textId="77777777"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Dermocorticoïde </w:t>
      </w:r>
    </w:p>
    <w:p w14:paraId="7851E9A6" w14:textId="77777777"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Antihistaminique </w:t>
      </w:r>
    </w:p>
    <w:p w14:paraId="797D7C70" w14:textId="77777777" w:rsidR="003F4621" w:rsidRPr="00D33D10" w:rsidRDefault="003F4621" w:rsidP="003F4621">
      <w:pPr>
        <w:rPr>
          <w:rFonts w:cs="Times New Roman"/>
        </w:rPr>
      </w:pPr>
      <w:r w:rsidRPr="00D33D10">
        <w:rPr>
          <w:rFonts w:cs="Times New Roman"/>
        </w:rPr>
        <w:t xml:space="preserve">Antalgiques avant les soins </w:t>
      </w:r>
    </w:p>
    <w:p w14:paraId="5E1BCDB2" w14:textId="77777777" w:rsidR="00AD5EA5" w:rsidRPr="00D33D10" w:rsidRDefault="00AD5EA5" w:rsidP="00AD5EA5">
      <w:pPr>
        <w:pStyle w:val="Titre3"/>
        <w:rPr>
          <w:rFonts w:cs="Times New Roman"/>
        </w:rPr>
      </w:pPr>
      <w:bookmarkStart w:id="22" w:name="_Toc197050031"/>
      <w:bookmarkStart w:id="23" w:name="_Toc199845212"/>
      <w:r w:rsidRPr="00D33D10">
        <w:rPr>
          <w:rFonts w:cs="Times New Roman"/>
        </w:rPr>
        <w:t>Indication</w:t>
      </w:r>
      <w:bookmarkEnd w:id="22"/>
      <w:bookmarkEnd w:id="23"/>
    </w:p>
    <w:p w14:paraId="6BAF0CFD" w14:textId="77777777" w:rsidR="00AD5EA5" w:rsidRPr="00D33D10" w:rsidRDefault="00AD5EA5" w:rsidP="00AD5EA5">
      <w:pPr>
        <w:rPr>
          <w:rFonts w:cs="Times New Roman"/>
        </w:rPr>
      </w:pPr>
      <w:r w:rsidRPr="00D33D10">
        <w:rPr>
          <w:rFonts w:cs="Times New Roman"/>
        </w:rPr>
        <w:t xml:space="preserve">Si signes de gravité : hospitalisation </w:t>
      </w:r>
    </w:p>
    <w:p w14:paraId="35923242" w14:textId="77777777" w:rsidR="00AD5EA5" w:rsidRPr="00D33D10" w:rsidRDefault="00AD5EA5" w:rsidP="00AD5EA5">
      <w:pPr>
        <w:rPr>
          <w:rFonts w:cs="Times New Roman"/>
        </w:rPr>
      </w:pPr>
      <w:r w:rsidRPr="00D33D10">
        <w:rPr>
          <w:rFonts w:cs="Times New Roman"/>
        </w:rPr>
        <w:t>EMP ! antihistaminique et dermocorticoïde</w:t>
      </w:r>
    </w:p>
    <w:p w14:paraId="449EDAA1" w14:textId="77777777" w:rsidR="00AD5EA5" w:rsidRPr="00D33D10" w:rsidRDefault="00AD5EA5" w:rsidP="00AD5EA5">
      <w:pPr>
        <w:rPr>
          <w:rFonts w:cs="Times New Roman"/>
        </w:rPr>
      </w:pPr>
      <w:r w:rsidRPr="00D33D10">
        <w:rPr>
          <w:rFonts w:cs="Times New Roman"/>
        </w:rPr>
        <w:t>Sd DSJ et Lyell : soins locaux ++++</w:t>
      </w:r>
    </w:p>
    <w:p w14:paraId="1D36255D" w14:textId="77777777" w:rsidR="00AD5EA5" w:rsidRPr="00D33D10" w:rsidRDefault="00AD5EA5" w:rsidP="00AD5EA5">
      <w:pPr>
        <w:rPr>
          <w:rFonts w:cs="Times New Roman"/>
        </w:rPr>
      </w:pPr>
      <w:r w:rsidRPr="00D33D10">
        <w:rPr>
          <w:rFonts w:cs="Times New Roman"/>
        </w:rPr>
        <w:t xml:space="preserve">DRESS sd : corticoïde IV </w:t>
      </w:r>
    </w:p>
    <w:sectPr w:rsidR="00AD5EA5" w:rsidRPr="00D33D10" w:rsidSect="000A74E3">
      <w:headerReference w:type="default" r:id="rId8"/>
      <w:footerReference w:type="default" r:id="rId9"/>
      <w:pgSz w:w="8391" w:h="11907" w:code="11"/>
      <w:pgMar w:top="567" w:right="851" w:bottom="567" w:left="851" w:header="284" w:footer="28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9D7AE" w14:textId="77777777" w:rsidR="007F5A64" w:rsidRDefault="007F5A64" w:rsidP="00CF2E78">
      <w:pPr>
        <w:spacing w:line="240" w:lineRule="auto"/>
      </w:pPr>
      <w:r>
        <w:separator/>
      </w:r>
    </w:p>
  </w:endnote>
  <w:endnote w:type="continuationSeparator" w:id="0">
    <w:p w14:paraId="1CDA5CAD" w14:textId="77777777" w:rsidR="007F5A64" w:rsidRDefault="007F5A64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BBA86" w14:textId="1AF1B770" w:rsidR="00EF3288" w:rsidRDefault="00EF3288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5853E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F2C6B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  <w:p w14:paraId="576F8CF5" w14:textId="77777777" w:rsidR="00EF3288" w:rsidRDefault="00EF3288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D648F5" w14:textId="77777777" w:rsidR="007F5A64" w:rsidRDefault="007F5A64" w:rsidP="00CF2E78">
      <w:pPr>
        <w:spacing w:line="240" w:lineRule="auto"/>
      </w:pPr>
      <w:r>
        <w:separator/>
      </w:r>
    </w:p>
  </w:footnote>
  <w:footnote w:type="continuationSeparator" w:id="0">
    <w:p w14:paraId="29B7D162" w14:textId="77777777" w:rsidR="007F5A64" w:rsidRDefault="007F5A64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9FCB7" w14:textId="77777777" w:rsidR="00EF3288" w:rsidRDefault="00EF3288" w:rsidP="00CF2E78">
    <w:pPr>
      <w:pStyle w:val="En-tte"/>
      <w:numPr>
        <w:ilvl w:val="0"/>
        <w:numId w:val="0"/>
      </w:numPr>
      <w:jc w:val="center"/>
    </w:pPr>
    <w:r>
      <w:t>ZICO’s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A245F2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8D0F4F"/>
    <w:multiLevelType w:val="hybridMultilevel"/>
    <w:tmpl w:val="56FA26E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BFA22A28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60411E4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B74F9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1B658C"/>
    <w:multiLevelType w:val="multilevel"/>
    <w:tmpl w:val="2206912C"/>
    <w:lvl w:ilvl="0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2BB23DA"/>
    <w:multiLevelType w:val="hybridMultilevel"/>
    <w:tmpl w:val="1FE02F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27A8C4CC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4910E69"/>
    <w:multiLevelType w:val="multilevel"/>
    <w:tmpl w:val="397228A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upperRoman"/>
      <w:lvlText w:val="%2."/>
      <w:lvlJc w:val="left"/>
      <w:pPr>
        <w:ind w:left="431" w:hanging="431"/>
      </w:pPr>
      <w:rPr>
        <w:rFonts w:hint="default"/>
      </w:rPr>
    </w:lvl>
    <w:lvl w:ilvl="2">
      <w:start w:val="1"/>
      <w:numFmt w:val="upperLetter"/>
      <w:lvlText w:val="%3. "/>
      <w:lvlJc w:val="left"/>
      <w:pPr>
        <w:ind w:left="284" w:hanging="284"/>
      </w:pPr>
      <w:rPr>
        <w:rFonts w:hint="default"/>
      </w:rPr>
    </w:lvl>
    <w:lvl w:ilvl="3">
      <w:start w:val="1"/>
      <w:numFmt w:val="decimal"/>
      <w:lvlText w:val="%4. "/>
      <w:lvlJc w:val="left"/>
      <w:pPr>
        <w:ind w:left="454" w:hanging="454"/>
      </w:pPr>
      <w:rPr>
        <w:rFonts w:hint="default"/>
      </w:rPr>
    </w:lvl>
    <w:lvl w:ilvl="4">
      <w:start w:val="1"/>
      <w:numFmt w:val="decimal"/>
      <w:lvlText w:val="%4.%5."/>
      <w:lvlJc w:val="left"/>
      <w:pPr>
        <w:ind w:left="851" w:hanging="567"/>
      </w:pPr>
      <w:rPr>
        <w:rFonts w:hint="default"/>
      </w:rPr>
    </w:lvl>
    <w:lvl w:ilvl="5">
      <w:start w:val="1"/>
      <w:numFmt w:val="decimal"/>
      <w:lvlText w:val="%4.%5.%6."/>
      <w:lvlJc w:val="left"/>
      <w:pPr>
        <w:ind w:left="1474" w:hanging="907"/>
      </w:pPr>
      <w:rPr>
        <w:rFonts w:hint="default"/>
      </w:rPr>
    </w:lvl>
    <w:lvl w:ilvl="6">
      <w:start w:val="1"/>
      <w:numFmt w:val="decimal"/>
      <w:lvlText w:val="%4.%5.%6.%7."/>
      <w:lvlJc w:val="left"/>
      <w:pPr>
        <w:ind w:left="1296" w:hanging="1296"/>
      </w:pPr>
      <w:rPr>
        <w:rFonts w:hint="default"/>
        <w:b w:val="0"/>
        <w:i w:val="0"/>
        <w:color w:val="auto"/>
        <w:sz w:val="20"/>
        <w:u w:val="none" w:color="767171" w:themeColor="background2" w:themeShade="80"/>
      </w:rPr>
    </w:lvl>
    <w:lvl w:ilvl="7">
      <w:start w:val="1"/>
      <w:numFmt w:val="none"/>
      <w:lvlText w:val=""/>
      <w:lvlJc w:val="left"/>
      <w:pPr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none"/>
      <w:lvlText w:val="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58725B18"/>
    <w:multiLevelType w:val="multilevel"/>
    <w:tmpl w:val="7026E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54B4E"/>
    <w:multiLevelType w:val="hybridMultilevel"/>
    <w:tmpl w:val="90C0B8F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1" w15:restartNumberingAfterBreak="0">
    <w:nsid w:val="607B27BF"/>
    <w:multiLevelType w:val="multilevel"/>
    <w:tmpl w:val="4028BFF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BE38C0"/>
    <w:multiLevelType w:val="hybridMultilevel"/>
    <w:tmpl w:val="E384DAC4"/>
    <w:lvl w:ilvl="0" w:tplc="7DF49460">
      <w:start w:val="1"/>
      <w:numFmt w:val="upperRoman"/>
      <w:lvlText w:val="%1."/>
      <w:lvlJc w:val="righ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3"/>
  </w:num>
  <w:num w:numId="3">
    <w:abstractNumId w:val="7"/>
  </w:num>
  <w:num w:numId="4">
    <w:abstractNumId w:val="1"/>
  </w:num>
  <w:num w:numId="5">
    <w:abstractNumId w:val="10"/>
  </w:num>
  <w:num w:numId="6">
    <w:abstractNumId w:val="3"/>
  </w:num>
  <w:num w:numId="7">
    <w:abstractNumId w:val="13"/>
    <w:lvlOverride w:ilvl="0">
      <w:startOverride w:val="1"/>
    </w:lvlOverride>
  </w:num>
  <w:num w:numId="8">
    <w:abstractNumId w:val="11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8"/>
  </w:num>
  <w:num w:numId="12">
    <w:abstractNumId w:val="4"/>
  </w:num>
  <w:num w:numId="13">
    <w:abstractNumId w:val="0"/>
  </w:num>
  <w:num w:numId="14">
    <w:abstractNumId w:val="6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2CE"/>
    <w:rsid w:val="000114F8"/>
    <w:rsid w:val="00017412"/>
    <w:rsid w:val="000276D5"/>
    <w:rsid w:val="0004697D"/>
    <w:rsid w:val="000531C8"/>
    <w:rsid w:val="0006345F"/>
    <w:rsid w:val="00096F56"/>
    <w:rsid w:val="000A205D"/>
    <w:rsid w:val="000A74E3"/>
    <w:rsid w:val="000B5FF5"/>
    <w:rsid w:val="000B73CC"/>
    <w:rsid w:val="000C2008"/>
    <w:rsid w:val="000C2C84"/>
    <w:rsid w:val="000C6960"/>
    <w:rsid w:val="000D4A3C"/>
    <w:rsid w:val="000E0D1E"/>
    <w:rsid w:val="000E404B"/>
    <w:rsid w:val="000F6BB0"/>
    <w:rsid w:val="000F6E2F"/>
    <w:rsid w:val="00106B03"/>
    <w:rsid w:val="00112550"/>
    <w:rsid w:val="001127D2"/>
    <w:rsid w:val="00117F58"/>
    <w:rsid w:val="001221A1"/>
    <w:rsid w:val="00125C4F"/>
    <w:rsid w:val="001379A9"/>
    <w:rsid w:val="001436E3"/>
    <w:rsid w:val="0015015C"/>
    <w:rsid w:val="0015233F"/>
    <w:rsid w:val="00160BFD"/>
    <w:rsid w:val="001623DE"/>
    <w:rsid w:val="00182555"/>
    <w:rsid w:val="00187FCA"/>
    <w:rsid w:val="001932B3"/>
    <w:rsid w:val="001B3AC9"/>
    <w:rsid w:val="001D7D56"/>
    <w:rsid w:val="001E1545"/>
    <w:rsid w:val="001F15D1"/>
    <w:rsid w:val="001F1E4B"/>
    <w:rsid w:val="0020350E"/>
    <w:rsid w:val="00211647"/>
    <w:rsid w:val="0022194A"/>
    <w:rsid w:val="00227A1C"/>
    <w:rsid w:val="00237A66"/>
    <w:rsid w:val="002401EC"/>
    <w:rsid w:val="002468AE"/>
    <w:rsid w:val="0024720C"/>
    <w:rsid w:val="00270FFD"/>
    <w:rsid w:val="002738D6"/>
    <w:rsid w:val="00276E41"/>
    <w:rsid w:val="00284AD6"/>
    <w:rsid w:val="002853A2"/>
    <w:rsid w:val="00286CC0"/>
    <w:rsid w:val="002909BC"/>
    <w:rsid w:val="002A176E"/>
    <w:rsid w:val="002A6786"/>
    <w:rsid w:val="002A72E4"/>
    <w:rsid w:val="002B04E2"/>
    <w:rsid w:val="002C719F"/>
    <w:rsid w:val="002D0A52"/>
    <w:rsid w:val="002D1045"/>
    <w:rsid w:val="002D182D"/>
    <w:rsid w:val="00301A46"/>
    <w:rsid w:val="00310E3B"/>
    <w:rsid w:val="00314745"/>
    <w:rsid w:val="00322412"/>
    <w:rsid w:val="0033133A"/>
    <w:rsid w:val="00345A80"/>
    <w:rsid w:val="00392778"/>
    <w:rsid w:val="003B5877"/>
    <w:rsid w:val="003C2CDF"/>
    <w:rsid w:val="003C5CD1"/>
    <w:rsid w:val="003D3B05"/>
    <w:rsid w:val="003D4286"/>
    <w:rsid w:val="003E1E62"/>
    <w:rsid w:val="003E2518"/>
    <w:rsid w:val="003E5BB3"/>
    <w:rsid w:val="003F4621"/>
    <w:rsid w:val="003F5488"/>
    <w:rsid w:val="00410B75"/>
    <w:rsid w:val="00417587"/>
    <w:rsid w:val="00417D74"/>
    <w:rsid w:val="00421ED2"/>
    <w:rsid w:val="00435AFF"/>
    <w:rsid w:val="004542E8"/>
    <w:rsid w:val="00457209"/>
    <w:rsid w:val="00470460"/>
    <w:rsid w:val="00480D52"/>
    <w:rsid w:val="004968E6"/>
    <w:rsid w:val="00496FB4"/>
    <w:rsid w:val="004A233D"/>
    <w:rsid w:val="004A72A9"/>
    <w:rsid w:val="004B61A2"/>
    <w:rsid w:val="004B7430"/>
    <w:rsid w:val="004D4521"/>
    <w:rsid w:val="004D5881"/>
    <w:rsid w:val="004D6982"/>
    <w:rsid w:val="004E07F7"/>
    <w:rsid w:val="004E0CCE"/>
    <w:rsid w:val="004E1705"/>
    <w:rsid w:val="004F5E90"/>
    <w:rsid w:val="00504ED8"/>
    <w:rsid w:val="00507FC4"/>
    <w:rsid w:val="005129D4"/>
    <w:rsid w:val="00523DD6"/>
    <w:rsid w:val="0053461C"/>
    <w:rsid w:val="00537D12"/>
    <w:rsid w:val="00542309"/>
    <w:rsid w:val="00546B00"/>
    <w:rsid w:val="0055196D"/>
    <w:rsid w:val="005571F1"/>
    <w:rsid w:val="00570358"/>
    <w:rsid w:val="00574222"/>
    <w:rsid w:val="00575373"/>
    <w:rsid w:val="0058285B"/>
    <w:rsid w:val="005853E3"/>
    <w:rsid w:val="0059199C"/>
    <w:rsid w:val="00594132"/>
    <w:rsid w:val="005A790E"/>
    <w:rsid w:val="005C6AC3"/>
    <w:rsid w:val="005D1C5A"/>
    <w:rsid w:val="005D33F8"/>
    <w:rsid w:val="005F4ED9"/>
    <w:rsid w:val="00624A02"/>
    <w:rsid w:val="0063601B"/>
    <w:rsid w:val="006378EA"/>
    <w:rsid w:val="00645ADE"/>
    <w:rsid w:val="00647FFE"/>
    <w:rsid w:val="0065262C"/>
    <w:rsid w:val="006530E0"/>
    <w:rsid w:val="006620FB"/>
    <w:rsid w:val="00671447"/>
    <w:rsid w:val="00673FC3"/>
    <w:rsid w:val="00675C02"/>
    <w:rsid w:val="006B6308"/>
    <w:rsid w:val="006D0988"/>
    <w:rsid w:val="006D2B9E"/>
    <w:rsid w:val="006F752D"/>
    <w:rsid w:val="00700A1C"/>
    <w:rsid w:val="00702686"/>
    <w:rsid w:val="00703F1B"/>
    <w:rsid w:val="007260D2"/>
    <w:rsid w:val="00737795"/>
    <w:rsid w:val="0074522B"/>
    <w:rsid w:val="0075644A"/>
    <w:rsid w:val="00764A94"/>
    <w:rsid w:val="00766366"/>
    <w:rsid w:val="00772A86"/>
    <w:rsid w:val="007737EF"/>
    <w:rsid w:val="007751D8"/>
    <w:rsid w:val="0077582A"/>
    <w:rsid w:val="007828C7"/>
    <w:rsid w:val="00785C57"/>
    <w:rsid w:val="00787FAA"/>
    <w:rsid w:val="007B2AC4"/>
    <w:rsid w:val="007E0A62"/>
    <w:rsid w:val="007E6ECF"/>
    <w:rsid w:val="007E7C54"/>
    <w:rsid w:val="007F5A64"/>
    <w:rsid w:val="00807132"/>
    <w:rsid w:val="0082373F"/>
    <w:rsid w:val="00826185"/>
    <w:rsid w:val="00854A91"/>
    <w:rsid w:val="00865AD3"/>
    <w:rsid w:val="00870A45"/>
    <w:rsid w:val="00873295"/>
    <w:rsid w:val="00891787"/>
    <w:rsid w:val="008A77C3"/>
    <w:rsid w:val="008B39AA"/>
    <w:rsid w:val="008C371D"/>
    <w:rsid w:val="008C58A3"/>
    <w:rsid w:val="008C648B"/>
    <w:rsid w:val="008E29E7"/>
    <w:rsid w:val="008E7B84"/>
    <w:rsid w:val="008F1D00"/>
    <w:rsid w:val="008F72A6"/>
    <w:rsid w:val="00905FB5"/>
    <w:rsid w:val="00910215"/>
    <w:rsid w:val="00932B4A"/>
    <w:rsid w:val="009505A5"/>
    <w:rsid w:val="00957ED9"/>
    <w:rsid w:val="00985F2A"/>
    <w:rsid w:val="00986B55"/>
    <w:rsid w:val="00986DBC"/>
    <w:rsid w:val="00994F6D"/>
    <w:rsid w:val="009B2F33"/>
    <w:rsid w:val="009B70EF"/>
    <w:rsid w:val="009C25D4"/>
    <w:rsid w:val="009C2A9B"/>
    <w:rsid w:val="00A11211"/>
    <w:rsid w:val="00A17F89"/>
    <w:rsid w:val="00A278E6"/>
    <w:rsid w:val="00A33CD3"/>
    <w:rsid w:val="00A51780"/>
    <w:rsid w:val="00A541D2"/>
    <w:rsid w:val="00A805C6"/>
    <w:rsid w:val="00A91EE8"/>
    <w:rsid w:val="00A92A1C"/>
    <w:rsid w:val="00AA2C54"/>
    <w:rsid w:val="00AA5C9E"/>
    <w:rsid w:val="00AA761C"/>
    <w:rsid w:val="00AC06CD"/>
    <w:rsid w:val="00AD5EA5"/>
    <w:rsid w:val="00AE38A3"/>
    <w:rsid w:val="00AE60A3"/>
    <w:rsid w:val="00AF2D80"/>
    <w:rsid w:val="00B004A2"/>
    <w:rsid w:val="00B46D72"/>
    <w:rsid w:val="00B55072"/>
    <w:rsid w:val="00B602BE"/>
    <w:rsid w:val="00B60555"/>
    <w:rsid w:val="00B636B9"/>
    <w:rsid w:val="00B67213"/>
    <w:rsid w:val="00B82E2F"/>
    <w:rsid w:val="00B86BBB"/>
    <w:rsid w:val="00B91ACD"/>
    <w:rsid w:val="00B9568E"/>
    <w:rsid w:val="00B96DAE"/>
    <w:rsid w:val="00BA4FAB"/>
    <w:rsid w:val="00BA5B71"/>
    <w:rsid w:val="00BA78D4"/>
    <w:rsid w:val="00BB58CF"/>
    <w:rsid w:val="00BD0595"/>
    <w:rsid w:val="00BD4A8A"/>
    <w:rsid w:val="00BD7170"/>
    <w:rsid w:val="00BD75EE"/>
    <w:rsid w:val="00BE00A5"/>
    <w:rsid w:val="00BE1E4B"/>
    <w:rsid w:val="00BE3008"/>
    <w:rsid w:val="00C0332A"/>
    <w:rsid w:val="00C06AFC"/>
    <w:rsid w:val="00C13427"/>
    <w:rsid w:val="00C30E8F"/>
    <w:rsid w:val="00C34CAB"/>
    <w:rsid w:val="00C40352"/>
    <w:rsid w:val="00C648C2"/>
    <w:rsid w:val="00C659F4"/>
    <w:rsid w:val="00C7129F"/>
    <w:rsid w:val="00C81DF4"/>
    <w:rsid w:val="00C87501"/>
    <w:rsid w:val="00C90FC0"/>
    <w:rsid w:val="00C945DD"/>
    <w:rsid w:val="00CA1A8D"/>
    <w:rsid w:val="00CA6BDB"/>
    <w:rsid w:val="00CB00B3"/>
    <w:rsid w:val="00CF2E78"/>
    <w:rsid w:val="00D03580"/>
    <w:rsid w:val="00D07A01"/>
    <w:rsid w:val="00D1285D"/>
    <w:rsid w:val="00D2268C"/>
    <w:rsid w:val="00D27A03"/>
    <w:rsid w:val="00D33D10"/>
    <w:rsid w:val="00D36638"/>
    <w:rsid w:val="00D367F6"/>
    <w:rsid w:val="00D424AA"/>
    <w:rsid w:val="00D724AA"/>
    <w:rsid w:val="00D94721"/>
    <w:rsid w:val="00DC51A6"/>
    <w:rsid w:val="00DD46E5"/>
    <w:rsid w:val="00DD4E75"/>
    <w:rsid w:val="00DE1831"/>
    <w:rsid w:val="00DE3473"/>
    <w:rsid w:val="00DE4181"/>
    <w:rsid w:val="00DE7BCF"/>
    <w:rsid w:val="00DF1FEC"/>
    <w:rsid w:val="00DF42D7"/>
    <w:rsid w:val="00DF7D3C"/>
    <w:rsid w:val="00E11C12"/>
    <w:rsid w:val="00E23FA5"/>
    <w:rsid w:val="00E30C7B"/>
    <w:rsid w:val="00E41909"/>
    <w:rsid w:val="00E5375A"/>
    <w:rsid w:val="00E56FD5"/>
    <w:rsid w:val="00E61C37"/>
    <w:rsid w:val="00E66071"/>
    <w:rsid w:val="00E70FF6"/>
    <w:rsid w:val="00E87951"/>
    <w:rsid w:val="00EA1A66"/>
    <w:rsid w:val="00EB1818"/>
    <w:rsid w:val="00EB4533"/>
    <w:rsid w:val="00EC0BD9"/>
    <w:rsid w:val="00ED6C8F"/>
    <w:rsid w:val="00EE18E8"/>
    <w:rsid w:val="00EF24CE"/>
    <w:rsid w:val="00EF2C6B"/>
    <w:rsid w:val="00EF3288"/>
    <w:rsid w:val="00EF4729"/>
    <w:rsid w:val="00EF6ED0"/>
    <w:rsid w:val="00F03D1F"/>
    <w:rsid w:val="00F114FD"/>
    <w:rsid w:val="00F12B5E"/>
    <w:rsid w:val="00F320A2"/>
    <w:rsid w:val="00F3338A"/>
    <w:rsid w:val="00F3371C"/>
    <w:rsid w:val="00F43BB1"/>
    <w:rsid w:val="00F5008A"/>
    <w:rsid w:val="00F5121E"/>
    <w:rsid w:val="00F5436A"/>
    <w:rsid w:val="00F5785F"/>
    <w:rsid w:val="00F63D8D"/>
    <w:rsid w:val="00F7435B"/>
    <w:rsid w:val="00F76F2A"/>
    <w:rsid w:val="00FA0BF0"/>
    <w:rsid w:val="00FA0D60"/>
    <w:rsid w:val="00FA5C46"/>
    <w:rsid w:val="00FD454C"/>
    <w:rsid w:val="00FD6B15"/>
    <w:rsid w:val="00FE342E"/>
    <w:rsid w:val="00FF17C9"/>
    <w:rsid w:val="00FF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04567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D10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3338A"/>
    <w:pPr>
      <w:keepNext/>
      <w:keepLines/>
      <w:numPr>
        <w:numId w:val="12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 w:after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E1545"/>
    <w:pPr>
      <w:keepNext/>
      <w:keepLines/>
      <w:numPr>
        <w:ilvl w:val="1"/>
        <w:numId w:val="12"/>
      </w:numPr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color w:val="00B050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2"/>
      </w:numPr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2"/>
      </w:numPr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2"/>
      </w:numPr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338A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Paragraphedeliste">
    <w:name w:val="List Paragraph"/>
    <w:basedOn w:val="Normal"/>
    <w:uiPriority w:val="34"/>
    <w:qFormat/>
    <w:rsid w:val="00096F56"/>
    <w:pPr>
      <w:numPr>
        <w:numId w:val="0"/>
      </w:numPr>
      <w:spacing w:line="300" w:lineRule="auto"/>
      <w:ind w:left="720"/>
      <w:contextualSpacing/>
      <w:jc w:val="both"/>
    </w:pPr>
    <w:rPr>
      <w:rFonts w:ascii="Leelawadee" w:hAnsi="Leelawadee"/>
      <w:sz w:val="19"/>
    </w:rPr>
  </w:style>
  <w:style w:type="paragraph" w:customStyle="1" w:styleId="Notedemarge">
    <w:name w:val="Note de marge"/>
    <w:basedOn w:val="Normal"/>
    <w:qFormat/>
    <w:rsid w:val="00096F56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Leelawadee" w:hAnsi="Leelawadee"/>
      <w:b/>
      <w:color w:val="000000"/>
      <w:sz w:val="16"/>
      <w14:textFill>
        <w14:solidFill>
          <w14:srgbClr w14:val="000000">
            <w14:lumMod w14:val="50000"/>
          </w14:srgbClr>
        </w14:solidFill>
      </w14:textFill>
    </w:rPr>
  </w:style>
  <w:style w:type="paragraph" w:styleId="TM1">
    <w:name w:val="toc 1"/>
    <w:basedOn w:val="Normal"/>
    <w:next w:val="Normal"/>
    <w:autoRedefine/>
    <w:uiPriority w:val="39"/>
    <w:unhideWhenUsed/>
    <w:rsid w:val="00DD46E5"/>
    <w:pPr>
      <w:tabs>
        <w:tab w:val="right" w:leader="dot" w:pos="6963"/>
      </w:tabs>
      <w:spacing w:after="100"/>
      <w:ind w:left="0"/>
    </w:pPr>
    <w:rPr>
      <w:rFonts w:cs="Times New Roman"/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2D0A52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2D0A52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2D0A52"/>
    <w:rPr>
      <w:color w:val="0563C1" w:themeColor="hyperlink"/>
      <w:u w:val="single"/>
    </w:rPr>
  </w:style>
  <w:style w:type="paragraph" w:styleId="TM4">
    <w:name w:val="toc 4"/>
    <w:basedOn w:val="Normal"/>
    <w:next w:val="Normal"/>
    <w:autoRedefine/>
    <w:uiPriority w:val="39"/>
    <w:unhideWhenUsed/>
    <w:rsid w:val="002D0A52"/>
    <w:pPr>
      <w:spacing w:after="100"/>
      <w:ind w:left="60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65262C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fr-FR"/>
    </w:rPr>
  </w:style>
  <w:style w:type="table" w:styleId="Grilledutableau">
    <w:name w:val="Table Grid"/>
    <w:basedOn w:val="TableauNormal"/>
    <w:uiPriority w:val="39"/>
    <w:rsid w:val="00DF42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873295"/>
    <w:pPr>
      <w:numPr>
        <w:numId w:val="13"/>
      </w:numPr>
      <w:contextualSpacing/>
    </w:pPr>
  </w:style>
  <w:style w:type="paragraph" w:styleId="Date">
    <w:name w:val="Date"/>
    <w:basedOn w:val="Normal"/>
    <w:next w:val="Normal"/>
    <w:link w:val="DateCar"/>
    <w:uiPriority w:val="99"/>
    <w:semiHidden/>
    <w:unhideWhenUsed/>
    <w:rsid w:val="000B5FF5"/>
  </w:style>
  <w:style w:type="character" w:customStyle="1" w:styleId="DateCar">
    <w:name w:val="Date Car"/>
    <w:basedOn w:val="Policepardfaut"/>
    <w:link w:val="Date"/>
    <w:uiPriority w:val="99"/>
    <w:semiHidden/>
    <w:rsid w:val="000B5FF5"/>
    <w:rPr>
      <w:rFonts w:ascii="Times New Roman" w:hAnsi="Times New Roman"/>
      <w:sz w:val="20"/>
    </w:rPr>
  </w:style>
  <w:style w:type="paragraph" w:styleId="TM5">
    <w:name w:val="toc 5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E1545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table" w:styleId="Grilledetableauclaire">
    <w:name w:val="Grid Table Light"/>
    <w:basedOn w:val="TableauNormal"/>
    <w:uiPriority w:val="40"/>
    <w:rsid w:val="004542E8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FF36E-18E2-421A-B292-05760B1A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1681</TotalTime>
  <Pages>7</Pages>
  <Words>1469</Words>
  <Characters>8378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198</cp:revision>
  <cp:lastPrinted>2025-06-03T10:29:00Z</cp:lastPrinted>
  <dcterms:created xsi:type="dcterms:W3CDTF">2025-03-30T11:16:00Z</dcterms:created>
  <dcterms:modified xsi:type="dcterms:W3CDTF">2025-09-24T13:47:00Z</dcterms:modified>
</cp:coreProperties>
</file>