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8A833" w14:textId="6DA20CDA" w:rsidR="00717035" w:rsidRDefault="006B53D2" w:rsidP="006B53D2">
      <w:pPr>
        <w:pStyle w:val="Titre"/>
      </w:pPr>
      <w:r>
        <w:t>Instabilités et luxations postérieure de l’épaule</w:t>
      </w:r>
    </w:p>
    <w:p w14:paraId="7CD3ED05" w14:textId="547B8A8E" w:rsidR="006B53D2" w:rsidRDefault="006B53D2" w:rsidP="005D4D92">
      <w:pPr>
        <w:pStyle w:val="Titre1"/>
        <w:numPr>
          <w:ilvl w:val="0"/>
          <w:numId w:val="26"/>
        </w:numPr>
      </w:pPr>
      <w:bookmarkStart w:id="0" w:name="_Toc196319378"/>
      <w:r>
        <w:t>Généralités</w:t>
      </w:r>
      <w:bookmarkEnd w:id="0"/>
    </w:p>
    <w:p w14:paraId="6938D352" w14:textId="087FEFD1" w:rsidR="006B53D2" w:rsidRDefault="006B53D2" w:rsidP="006B53D2">
      <w:r>
        <w:t>Rares</w:t>
      </w:r>
    </w:p>
    <w:p w14:paraId="0DBADEF1" w14:textId="200026FD" w:rsidR="006B53D2" w:rsidRDefault="006B53D2" w:rsidP="006B53D2">
      <w:r>
        <w:t>Deux tableaux</w:t>
      </w:r>
    </w:p>
    <w:p w14:paraId="5823751E" w14:textId="1A3CEBD0" w:rsidR="006B53D2" w:rsidRDefault="006B53D2" w:rsidP="006B53D2">
      <w:pPr>
        <w:numPr>
          <w:ilvl w:val="1"/>
          <w:numId w:val="9"/>
        </w:numPr>
      </w:pPr>
      <w:r>
        <w:t xml:space="preserve">Formes aiguës </w:t>
      </w:r>
    </w:p>
    <w:p w14:paraId="556694EF" w14:textId="282C272E" w:rsidR="006B53D2" w:rsidRDefault="006B53D2" w:rsidP="006B53D2">
      <w:pPr>
        <w:numPr>
          <w:ilvl w:val="1"/>
          <w:numId w:val="9"/>
        </w:numPr>
      </w:pPr>
      <w:r>
        <w:t>Formes chroniques</w:t>
      </w:r>
    </w:p>
    <w:p w14:paraId="7B9F59E9" w14:textId="7F21F49E" w:rsidR="0000782B" w:rsidRDefault="0000782B" w:rsidP="0000782B">
      <w:pPr>
        <w:pStyle w:val="Titre1"/>
      </w:pPr>
      <w:bookmarkStart w:id="1" w:name="_Toc196319379"/>
      <w:r>
        <w:t>Classification des lésions</w:t>
      </w:r>
      <w:bookmarkEnd w:id="1"/>
    </w:p>
    <w:p w14:paraId="3136EB4D" w14:textId="1E53E7AB" w:rsidR="0000782B" w:rsidRDefault="0000782B" w:rsidP="0000782B">
      <w:pPr>
        <w:pStyle w:val="Titre2"/>
      </w:pPr>
      <w:bookmarkStart w:id="2" w:name="_Toc196319380"/>
      <w:r>
        <w:t>D’origine capsulo-ligamentaire</w:t>
      </w:r>
      <w:bookmarkEnd w:id="2"/>
      <w:r>
        <w:t xml:space="preserve"> </w:t>
      </w:r>
    </w:p>
    <w:p w14:paraId="5104C0A5" w14:textId="34D55AAF" w:rsidR="0000782B" w:rsidRDefault="0000782B" w:rsidP="0000782B">
      <w:r>
        <w:t xml:space="preserve">Lésion du </w:t>
      </w:r>
      <w:proofErr w:type="spellStart"/>
      <w:r>
        <w:t>Bankart</w:t>
      </w:r>
      <w:proofErr w:type="spellEnd"/>
      <w:r>
        <w:t xml:space="preserve"> postérieure : désinsertion du bourrelet e de la </w:t>
      </w:r>
      <w:r w:rsidR="00750D55">
        <w:t>capsule</w:t>
      </w:r>
      <w:r>
        <w:t xml:space="preserve"> du rebord postérieur de la glène</w:t>
      </w:r>
    </w:p>
    <w:p w14:paraId="795ABB8C" w14:textId="743A3C5D" w:rsidR="0000782B" w:rsidRDefault="0000782B" w:rsidP="0000782B">
      <w:pPr>
        <w:pStyle w:val="Titre2"/>
      </w:pPr>
      <w:bookmarkStart w:id="3" w:name="_Toc196319381"/>
      <w:r>
        <w:t>D’origine osseuse</w:t>
      </w:r>
      <w:bookmarkEnd w:id="3"/>
      <w:r>
        <w:t xml:space="preserve"> </w:t>
      </w:r>
    </w:p>
    <w:p w14:paraId="37CC1120" w14:textId="04C3F12C" w:rsidR="0000782B" w:rsidRDefault="0000782B" w:rsidP="0000782B">
      <w:pPr>
        <w:pStyle w:val="Titre3"/>
      </w:pPr>
      <w:bookmarkStart w:id="4" w:name="_Toc196319382"/>
      <w:r>
        <w:t>Humérales</w:t>
      </w:r>
      <w:bookmarkEnd w:id="4"/>
    </w:p>
    <w:p w14:paraId="31B2C01C" w14:textId="3F8CBE95" w:rsidR="0000782B" w:rsidRDefault="0000782B" w:rsidP="0000782B">
      <w:r>
        <w:t xml:space="preserve">Encoche de </w:t>
      </w:r>
      <w:proofErr w:type="spellStart"/>
      <w:r>
        <w:t>Malgaine</w:t>
      </w:r>
      <w:proofErr w:type="spellEnd"/>
      <w:r>
        <w:t xml:space="preserve"> inversées : encoche antérieur </w:t>
      </w:r>
    </w:p>
    <w:p w14:paraId="6C8903A5" w14:textId="336E9D8C" w:rsidR="0000782B" w:rsidRDefault="0000782B" w:rsidP="0000782B">
      <w:pPr>
        <w:pStyle w:val="Titre3"/>
      </w:pPr>
      <w:bookmarkStart w:id="5" w:name="_Toc196319383"/>
      <w:r>
        <w:t>Glénoïdienne</w:t>
      </w:r>
      <w:bookmarkEnd w:id="5"/>
      <w:r>
        <w:t xml:space="preserve"> </w:t>
      </w:r>
    </w:p>
    <w:p w14:paraId="3FED557A" w14:textId="39BA003C" w:rsidR="0000782B" w:rsidRDefault="0000782B" w:rsidP="0000782B">
      <w:r>
        <w:t>Fracture de la berge postérieure, rare</w:t>
      </w:r>
    </w:p>
    <w:p w14:paraId="2FA7DB75" w14:textId="4B6F5182" w:rsidR="0000782B" w:rsidRDefault="0000782B" w:rsidP="0000782B">
      <w:pPr>
        <w:pStyle w:val="Titre1"/>
      </w:pPr>
      <w:bookmarkStart w:id="6" w:name="_Toc196319384"/>
      <w:r>
        <w:t>Tableau cliniques</w:t>
      </w:r>
      <w:bookmarkEnd w:id="6"/>
    </w:p>
    <w:p w14:paraId="23428EDC" w14:textId="0F3EAC7E" w:rsidR="0000782B" w:rsidRDefault="0000782B" w:rsidP="0000782B">
      <w:pPr>
        <w:pStyle w:val="Titre2"/>
      </w:pPr>
      <w:bookmarkStart w:id="7" w:name="_Toc196319385"/>
      <w:r>
        <w:t>Formes aiguës</w:t>
      </w:r>
      <w:bookmarkEnd w:id="7"/>
    </w:p>
    <w:p w14:paraId="0E989953" w14:textId="54911523" w:rsidR="0000782B" w:rsidRDefault="0000782B" w:rsidP="0000782B">
      <w:pPr>
        <w:pStyle w:val="Titre3"/>
      </w:pPr>
      <w:bookmarkStart w:id="8" w:name="_Toc196319386"/>
      <w:r>
        <w:t>Circonstance très différentes</w:t>
      </w:r>
      <w:bookmarkEnd w:id="8"/>
      <w:r>
        <w:t xml:space="preserve"> </w:t>
      </w:r>
    </w:p>
    <w:p w14:paraId="0601311B" w14:textId="7F3420BD" w:rsidR="0000782B" w:rsidRDefault="0000782B" w:rsidP="0000782B">
      <w:r>
        <w:t xml:space="preserve">Accident de circulation, crise comitiale </w:t>
      </w:r>
    </w:p>
    <w:p w14:paraId="480D9BD7" w14:textId="73DB9324" w:rsidR="0000782B" w:rsidRDefault="0000782B" w:rsidP="0000782B">
      <w:r>
        <w:t xml:space="preserve">Bilatéralité des lésions </w:t>
      </w:r>
    </w:p>
    <w:p w14:paraId="221D2FFE" w14:textId="78DFC40D" w:rsidR="0000782B" w:rsidRDefault="0000782B" w:rsidP="0000782B">
      <w:pPr>
        <w:pStyle w:val="Titre3"/>
      </w:pPr>
      <w:bookmarkStart w:id="9" w:name="_Toc196319387"/>
      <w:r>
        <w:t>Cliniquement</w:t>
      </w:r>
      <w:bookmarkEnd w:id="9"/>
      <w:r>
        <w:t xml:space="preserve"> </w:t>
      </w:r>
    </w:p>
    <w:p w14:paraId="34ECBE90" w14:textId="08621118" w:rsidR="0000782B" w:rsidRDefault="0000782B" w:rsidP="0000782B">
      <w:r>
        <w:t xml:space="preserve">Rotation interne irréductible : signe de l’aumône </w:t>
      </w:r>
    </w:p>
    <w:p w14:paraId="03FC648B" w14:textId="49A8D246" w:rsidR="0000782B" w:rsidRDefault="0000782B" w:rsidP="0000782B">
      <w:r>
        <w:t>Proéminence d l’apophyse coracoïde</w:t>
      </w:r>
    </w:p>
    <w:p w14:paraId="2CAA83E8" w14:textId="098E632F" w:rsidR="0000782B" w:rsidRDefault="0000782B" w:rsidP="0000782B">
      <w:r>
        <w:t xml:space="preserve">Diagnostic souvent méconnu / radio mal faite et mal interprété </w:t>
      </w:r>
    </w:p>
    <w:p w14:paraId="0AF81D8A" w14:textId="557E44D4" w:rsidR="0000782B" w:rsidRDefault="0000782B" w:rsidP="0000782B">
      <w:pPr>
        <w:pStyle w:val="Titre3"/>
      </w:pPr>
      <w:bookmarkStart w:id="10" w:name="_Toc196319388"/>
      <w:r>
        <w:t>Radio de profil rétro-thoracique</w:t>
      </w:r>
      <w:bookmarkEnd w:id="10"/>
      <w:r>
        <w:t xml:space="preserve"> </w:t>
      </w:r>
    </w:p>
    <w:p w14:paraId="12D6CCDF" w14:textId="367FBFBE" w:rsidR="0000782B" w:rsidRDefault="0000782B" w:rsidP="0000782B">
      <w:r>
        <w:t>Evite la méconnaissance diagnostique</w:t>
      </w:r>
    </w:p>
    <w:p w14:paraId="5DEBA24E" w14:textId="53156805" w:rsidR="0000782B" w:rsidRDefault="0000782B" w:rsidP="0000782B">
      <w:pPr>
        <w:pStyle w:val="Titre2"/>
      </w:pPr>
      <w:bookmarkStart w:id="11" w:name="_Toc196319389"/>
      <w:r>
        <w:lastRenderedPageBreak/>
        <w:t>Formes chroniques</w:t>
      </w:r>
      <w:bookmarkEnd w:id="11"/>
    </w:p>
    <w:p w14:paraId="44141FD1" w14:textId="6A81F22F" w:rsidR="0000782B" w:rsidRDefault="0000782B" w:rsidP="0000782B">
      <w:r>
        <w:t xml:space="preserve">Luxation récidivantes involontaires : très rares par rapport à la luxation antérieure </w:t>
      </w:r>
    </w:p>
    <w:p w14:paraId="509FF0EC" w14:textId="5FB85E66" w:rsidR="0000782B" w:rsidRDefault="0000782B" w:rsidP="0000782B">
      <w:r>
        <w:t xml:space="preserve">Subluxation récidivantes volontaires de l’adolescent : une curiosité psychiatrique </w:t>
      </w:r>
    </w:p>
    <w:p w14:paraId="184E80DD" w14:textId="3E670CCA" w:rsidR="0000782B" w:rsidRDefault="0000782B" w:rsidP="0000782B">
      <w:r>
        <w:t xml:space="preserve">Subluxation récidivantes volontaire ou non de l’adulte : </w:t>
      </w:r>
    </w:p>
    <w:p w14:paraId="2D2A3D70" w14:textId="01FD88D5" w:rsidR="0000782B" w:rsidRDefault="0000782B" w:rsidP="0000782B">
      <w:r>
        <w:t>Luxation invétérée datant de plus de 3 semaines</w:t>
      </w:r>
    </w:p>
    <w:p w14:paraId="48AF41A3" w14:textId="5436091E" w:rsidR="0000782B" w:rsidRDefault="0000782B" w:rsidP="0000782B">
      <w:pPr>
        <w:pStyle w:val="Titre1"/>
      </w:pPr>
      <w:bookmarkStart w:id="12" w:name="_Toc196319390"/>
      <w:r>
        <w:t>Traitement</w:t>
      </w:r>
      <w:bookmarkEnd w:id="12"/>
      <w:r>
        <w:t xml:space="preserve"> </w:t>
      </w:r>
    </w:p>
    <w:p w14:paraId="3808B02C" w14:textId="717F1B1E" w:rsidR="0000782B" w:rsidRDefault="0000782B" w:rsidP="0000782B">
      <w:pPr>
        <w:pStyle w:val="Titre2"/>
      </w:pPr>
      <w:bookmarkStart w:id="13" w:name="_Toc196319391"/>
      <w:r>
        <w:t>Formes aiguës</w:t>
      </w:r>
      <w:bookmarkEnd w:id="13"/>
    </w:p>
    <w:p w14:paraId="5102BFA6" w14:textId="75C4CEEA" w:rsidR="0000782B" w:rsidRDefault="0000782B" w:rsidP="0000782B">
      <w:r>
        <w:t>Tirer en rotation externe</w:t>
      </w:r>
    </w:p>
    <w:p w14:paraId="5844AFD5" w14:textId="5DE3C71B" w:rsidR="0000782B" w:rsidRDefault="0000782B" w:rsidP="0000782B">
      <w:r>
        <w:t xml:space="preserve">Immobilisation en rotation externe : coude au corps </w:t>
      </w:r>
    </w:p>
    <w:p w14:paraId="3E68F1AF" w14:textId="2E89873C" w:rsidR="0000782B" w:rsidRDefault="0000782B" w:rsidP="0000782B">
      <w:pPr>
        <w:pStyle w:val="Titre2"/>
      </w:pPr>
      <w:bookmarkStart w:id="14" w:name="_Toc196319392"/>
      <w:r>
        <w:t>Formes récidivantes</w:t>
      </w:r>
      <w:bookmarkEnd w:id="14"/>
    </w:p>
    <w:p w14:paraId="464D33DB" w14:textId="459171C0" w:rsidR="0000782B" w:rsidRDefault="0000782B" w:rsidP="0000782B">
      <w:r>
        <w:t xml:space="preserve">Butée postérieur </w:t>
      </w:r>
    </w:p>
    <w:p w14:paraId="4A9EB4F8" w14:textId="081AE021" w:rsidR="002E5299" w:rsidRDefault="0000782B" w:rsidP="0000782B">
      <w:proofErr w:type="spellStart"/>
      <w:r>
        <w:t>Bankart</w:t>
      </w:r>
      <w:proofErr w:type="spellEnd"/>
      <w:r>
        <w:t xml:space="preserve"> postérieur</w:t>
      </w:r>
    </w:p>
    <w:p w14:paraId="2287EAEC" w14:textId="59D73BFC" w:rsidR="00F70F3C" w:rsidRPr="006627AC" w:rsidRDefault="00F70F3C" w:rsidP="008C2C78">
      <w:pPr>
        <w:numPr>
          <w:ilvl w:val="0"/>
          <w:numId w:val="0"/>
        </w:numPr>
        <w:spacing w:after="200"/>
      </w:pP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0AE77C" w14:textId="77777777" w:rsidR="005321C4" w:rsidRDefault="005321C4" w:rsidP="00FE6A79">
      <w:pPr>
        <w:spacing w:line="240" w:lineRule="auto"/>
      </w:pPr>
      <w:r>
        <w:separator/>
      </w:r>
    </w:p>
  </w:endnote>
  <w:endnote w:type="continuationSeparator" w:id="0">
    <w:p w14:paraId="2BFA79D3" w14:textId="77777777" w:rsidR="005321C4" w:rsidRDefault="005321C4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572539B7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2C7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CB391" w14:textId="77777777" w:rsidR="005321C4" w:rsidRDefault="005321C4" w:rsidP="00FE6A79">
      <w:pPr>
        <w:spacing w:line="240" w:lineRule="auto"/>
      </w:pPr>
      <w:r>
        <w:separator/>
      </w:r>
    </w:p>
  </w:footnote>
  <w:footnote w:type="continuationSeparator" w:id="0">
    <w:p w14:paraId="68F4CE97" w14:textId="77777777" w:rsidR="005321C4" w:rsidRDefault="005321C4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321C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C2C78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3258</TotalTime>
  <Pages>2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2025-09-30T06:40:00Z</dcterms:modified>
</cp:coreProperties>
</file>