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E4A06C" w14:textId="2B7EA932" w:rsidR="004C3350" w:rsidRDefault="00E533CB" w:rsidP="00FF6810">
      <w:pPr>
        <w:numPr>
          <w:ilvl w:val="0"/>
          <w:numId w:val="0"/>
        </w:numPr>
        <w:spacing w:after="200"/>
        <w:rPr>
          <w:b/>
        </w:rPr>
      </w:pPr>
      <w:r w:rsidRPr="00E533CB">
        <w:rPr>
          <w:b/>
        </w:rPr>
        <w:t>jeudi 13 mars 2025</w:t>
      </w:r>
      <w:r w:rsidR="004C3350" w:rsidRPr="00E533CB">
        <w:rPr>
          <w:b/>
        </w:rPr>
        <w:t xml:space="preserve"> </w:t>
      </w:r>
    </w:p>
    <w:p w14:paraId="6CDDD75D" w14:textId="648DC09C" w:rsidR="00E533CB" w:rsidRDefault="007E219C" w:rsidP="00E533CB">
      <w:pPr>
        <w:pStyle w:val="Titre"/>
      </w:pPr>
      <w:r>
        <w:t>Instabilité</w:t>
      </w:r>
      <w:r w:rsidR="00E533CB">
        <w:t>s et luxations antérieures de l’épaule</w:t>
      </w:r>
    </w:p>
    <w:p w14:paraId="4C81DA38" w14:textId="00D70E9F" w:rsidR="00E533CB" w:rsidRDefault="00E533CB" w:rsidP="00E533CB">
      <w:r>
        <w:t xml:space="preserve">Dr  RAKOTONARIVO </w:t>
      </w:r>
      <w:proofErr w:type="spellStart"/>
      <w:r>
        <w:t>Aina</w:t>
      </w:r>
      <w:proofErr w:type="spellEnd"/>
      <w:r>
        <w:t xml:space="preserve"> </w:t>
      </w:r>
      <w:proofErr w:type="spellStart"/>
      <w:r>
        <w:t>Vatosoa</w:t>
      </w:r>
      <w:proofErr w:type="spellEnd"/>
    </w:p>
    <w:p w14:paraId="4CD41FDC" w14:textId="7D5986D9" w:rsidR="00E533CB" w:rsidRDefault="00E533CB" w:rsidP="00E533CB">
      <w:r>
        <w:t>Pr RAZAFIMAHANDRY HJC</w:t>
      </w:r>
    </w:p>
    <w:p w14:paraId="6E30E61E" w14:textId="65443895" w:rsidR="00E533CB" w:rsidRDefault="00E533CB" w:rsidP="00D53081">
      <w:pPr>
        <w:pStyle w:val="Titre1"/>
      </w:pPr>
      <w:r>
        <w:t>Objectifs</w:t>
      </w:r>
    </w:p>
    <w:p w14:paraId="64F901DC" w14:textId="74B5DE23" w:rsidR="00E533CB" w:rsidRDefault="00E533CB" w:rsidP="00E533CB">
      <w:r>
        <w:t>Donner la classification des lésions, décrire les différents tableaux cliniques et énumérer les principes du traitement</w:t>
      </w:r>
    </w:p>
    <w:p w14:paraId="0017CBAC" w14:textId="3AB90512" w:rsidR="00E533CB" w:rsidRDefault="00E533CB" w:rsidP="00E533CB">
      <w:pPr>
        <w:pStyle w:val="Titre1"/>
      </w:pPr>
      <w:bookmarkStart w:id="0" w:name="_Toc196319359"/>
      <w:r>
        <w:t>Généralités</w:t>
      </w:r>
      <w:bookmarkEnd w:id="0"/>
    </w:p>
    <w:p w14:paraId="2BED28C7" w14:textId="15E8303E" w:rsidR="00E533CB" w:rsidRDefault="00E533CB" w:rsidP="00E533CB">
      <w:r>
        <w:t xml:space="preserve">Luxations antérieures les plus fréquentes </w:t>
      </w:r>
    </w:p>
    <w:p w14:paraId="2D736D2B" w14:textId="462386E9" w:rsidR="00E533CB" w:rsidRDefault="00E533CB" w:rsidP="00E533CB">
      <w:r>
        <w:t>Deux formes</w:t>
      </w:r>
    </w:p>
    <w:p w14:paraId="3B9B0BE1" w14:textId="7BA2660F" w:rsidR="00E533CB" w:rsidRDefault="00E533CB" w:rsidP="00E533CB">
      <w:pPr>
        <w:numPr>
          <w:ilvl w:val="1"/>
          <w:numId w:val="9"/>
        </w:numPr>
      </w:pPr>
      <w:r>
        <w:t>Formes aiguës</w:t>
      </w:r>
    </w:p>
    <w:p w14:paraId="1C1F6640" w14:textId="6B57368B" w:rsidR="00E533CB" w:rsidRDefault="00E533CB" w:rsidP="00E533CB">
      <w:pPr>
        <w:numPr>
          <w:ilvl w:val="1"/>
          <w:numId w:val="9"/>
        </w:numPr>
      </w:pPr>
      <w:r>
        <w:t>Les formes chroniques</w:t>
      </w:r>
    </w:p>
    <w:p w14:paraId="61A7543B" w14:textId="5018D6D9" w:rsidR="00E533CB" w:rsidRDefault="00E533CB" w:rsidP="00E533CB">
      <w:r>
        <w:t xml:space="preserve">***luxation </w:t>
      </w:r>
      <w:r>
        <w:sym w:font="Wingdings" w:char="F0E8"/>
      </w:r>
      <w:r>
        <w:t xml:space="preserve"> remettre l’articulation à sa place immédiatement***</w:t>
      </w:r>
    </w:p>
    <w:p w14:paraId="08943009" w14:textId="5B64C610" w:rsidR="007039D3" w:rsidRDefault="007039D3" w:rsidP="007039D3">
      <w:pPr>
        <w:pStyle w:val="Titre1"/>
      </w:pPr>
      <w:bookmarkStart w:id="1" w:name="_Toc196319360"/>
      <w:r>
        <w:t>Classification des lésions</w:t>
      </w:r>
      <w:bookmarkEnd w:id="1"/>
      <w:r>
        <w:t xml:space="preserve"> </w:t>
      </w:r>
    </w:p>
    <w:p w14:paraId="03C21596" w14:textId="00C235F6" w:rsidR="007039D3" w:rsidRDefault="007039D3" w:rsidP="007039D3">
      <w:pPr>
        <w:pStyle w:val="Titre2"/>
      </w:pPr>
      <w:bookmarkStart w:id="2" w:name="_Toc196319361"/>
      <w:r>
        <w:t>D’origine capsulo-ligamentaire</w:t>
      </w:r>
      <w:bookmarkEnd w:id="2"/>
    </w:p>
    <w:p w14:paraId="440F487A" w14:textId="4163F323" w:rsidR="007039D3" w:rsidRDefault="007039D3" w:rsidP="007039D3">
      <w:pPr>
        <w:pStyle w:val="Titre3"/>
      </w:pPr>
      <w:bookmarkStart w:id="3" w:name="_Toc196319362"/>
      <w:r>
        <w:t>Traumatiques</w:t>
      </w:r>
      <w:bookmarkEnd w:id="3"/>
    </w:p>
    <w:p w14:paraId="195C430B" w14:textId="3E5CD282" w:rsidR="007039D3" w:rsidRPr="007039D3" w:rsidRDefault="007039D3" w:rsidP="007039D3">
      <w:pPr>
        <w:rPr>
          <w:b/>
        </w:rPr>
      </w:pPr>
      <w:r w:rsidRPr="007039D3">
        <w:rPr>
          <w:b/>
        </w:rPr>
        <w:t xml:space="preserve">Lésion de type de </w:t>
      </w:r>
      <w:proofErr w:type="spellStart"/>
      <w:r w:rsidRPr="007039D3">
        <w:rPr>
          <w:b/>
        </w:rPr>
        <w:t>Bankart</w:t>
      </w:r>
      <w:proofErr w:type="spellEnd"/>
      <w:r w:rsidRPr="007039D3">
        <w:rPr>
          <w:b/>
        </w:rPr>
        <w:t xml:space="preserve"> (1938)</w:t>
      </w:r>
      <w:r w:rsidR="00D53081">
        <w:rPr>
          <w:b/>
        </w:rPr>
        <w:t> :</w:t>
      </w:r>
    </w:p>
    <w:p w14:paraId="3413BE13" w14:textId="1251C17E" w:rsidR="007039D3" w:rsidRDefault="007039D3" w:rsidP="007039D3">
      <w:pPr>
        <w:numPr>
          <w:ilvl w:val="1"/>
          <w:numId w:val="9"/>
        </w:numPr>
      </w:pPr>
      <w:r>
        <w:t>Désunion du bourrelet glénoïdien et du ligament gléno-humérale inférieur</w:t>
      </w:r>
    </w:p>
    <w:p w14:paraId="60DC3EE3" w14:textId="7ED7A73F" w:rsidR="00A62FE0" w:rsidRDefault="00A62FE0" w:rsidP="00A62FE0">
      <w:pPr>
        <w:rPr>
          <w:b/>
        </w:rPr>
      </w:pPr>
      <w:r w:rsidRPr="00A62FE0">
        <w:rPr>
          <w:b/>
        </w:rPr>
        <w:t>Poche de décollement capsulo-periosté de Broca Hartmann (1980)</w:t>
      </w:r>
    </w:p>
    <w:p w14:paraId="323827C7" w14:textId="165E98E3" w:rsidR="00A62FE0" w:rsidRDefault="00A62FE0" w:rsidP="00A62FE0">
      <w:pPr>
        <w:rPr>
          <w:b/>
        </w:rPr>
      </w:pPr>
      <w:r>
        <w:rPr>
          <w:b/>
        </w:rPr>
        <w:t xml:space="preserve">Brèche </w:t>
      </w:r>
      <w:proofErr w:type="spellStart"/>
      <w:r>
        <w:rPr>
          <w:b/>
        </w:rPr>
        <w:t>capsulo</w:t>
      </w:r>
      <w:proofErr w:type="spellEnd"/>
      <w:r>
        <w:rPr>
          <w:b/>
        </w:rPr>
        <w:t>-ligamentaire antérieur</w:t>
      </w:r>
      <w:r w:rsidR="00D53081">
        <w:rPr>
          <w:b/>
        </w:rPr>
        <w:t> :</w:t>
      </w:r>
    </w:p>
    <w:p w14:paraId="77200C3D" w14:textId="28EC8241" w:rsidR="00A62FE0" w:rsidRDefault="00A62FE0" w:rsidP="00A62FE0">
      <w:pPr>
        <w:numPr>
          <w:ilvl w:val="1"/>
          <w:numId w:val="9"/>
        </w:numPr>
      </w:pPr>
      <w:r>
        <w:t xml:space="preserve">Déchirure en anse de sceau du bourrelet en place </w:t>
      </w:r>
    </w:p>
    <w:p w14:paraId="2636E7B2" w14:textId="3A63D3B8" w:rsidR="00A62FE0" w:rsidRDefault="00A62FE0" w:rsidP="00A62FE0">
      <w:pPr>
        <w:numPr>
          <w:ilvl w:val="1"/>
          <w:numId w:val="9"/>
        </w:numPr>
      </w:pPr>
      <w:r>
        <w:t>Rupture du ligament gléno-huméral inférieur</w:t>
      </w:r>
    </w:p>
    <w:p w14:paraId="1C3C208A" w14:textId="5022AC57" w:rsidR="00A62FE0" w:rsidRDefault="00A62FE0" w:rsidP="00A62FE0">
      <w:pPr>
        <w:pStyle w:val="Titre3"/>
      </w:pPr>
      <w:bookmarkStart w:id="4" w:name="_Toc196319363"/>
      <w:r>
        <w:t>Non traumatique s</w:t>
      </w:r>
      <w:bookmarkEnd w:id="4"/>
    </w:p>
    <w:p w14:paraId="6A5B6AF2" w14:textId="41624584" w:rsidR="00A62FE0" w:rsidRDefault="00A62FE0" w:rsidP="00A62FE0">
      <w:r w:rsidRPr="00510479">
        <w:rPr>
          <w:b/>
        </w:rPr>
        <w:t>Hyper laxité inférieur constitutionnelles</w:t>
      </w:r>
      <w:r>
        <w:t xml:space="preserve"> (poche capsulaire antérieur de </w:t>
      </w:r>
      <w:proofErr w:type="spellStart"/>
      <w:r>
        <w:t>Trillat</w:t>
      </w:r>
      <w:proofErr w:type="spellEnd"/>
      <w:r>
        <w:t xml:space="preserve"> 1965)</w:t>
      </w:r>
      <w:r w:rsidR="00D53081">
        <w:t> :</w:t>
      </w:r>
    </w:p>
    <w:p w14:paraId="450CB841" w14:textId="68D704C1" w:rsidR="00A62FE0" w:rsidRDefault="00A62FE0" w:rsidP="00A62FE0">
      <w:pPr>
        <w:numPr>
          <w:ilvl w:val="1"/>
          <w:numId w:val="9"/>
        </w:numPr>
      </w:pPr>
      <w:r>
        <w:t xml:space="preserve">Par atrophie, voire absence de ligament </w:t>
      </w:r>
      <w:proofErr w:type="spellStart"/>
      <w:r>
        <w:t>coracohuméral</w:t>
      </w:r>
      <w:proofErr w:type="spellEnd"/>
      <w:r>
        <w:t>, autorisant une subluxation inférieure)</w:t>
      </w:r>
    </w:p>
    <w:p w14:paraId="6860D6FD" w14:textId="4BC92754" w:rsidR="007577A6" w:rsidRDefault="007577A6" w:rsidP="007577A6">
      <w:pPr>
        <w:pStyle w:val="Titre2"/>
      </w:pPr>
      <w:bookmarkStart w:id="5" w:name="_Toc196319364"/>
      <w:r>
        <w:lastRenderedPageBreak/>
        <w:t>D’origine tendineuse</w:t>
      </w:r>
      <w:bookmarkEnd w:id="5"/>
    </w:p>
    <w:p w14:paraId="4F46020A" w14:textId="24D74255" w:rsidR="007577A6" w:rsidRDefault="001D30AD" w:rsidP="007577A6">
      <w:r>
        <w:t>Rupture des tendons des sous scapulaire, sus-épineux, sous-épineux</w:t>
      </w:r>
    </w:p>
    <w:p w14:paraId="7043BCC5" w14:textId="286BC05D" w:rsidR="001D30AD" w:rsidRDefault="001D30AD" w:rsidP="007577A6">
      <w:r>
        <w:t>Luxation du tendon du long biceps (rupture du sous épineux ou du ligament gléno-huméral supérieur)</w:t>
      </w:r>
    </w:p>
    <w:p w14:paraId="1847E4CC" w14:textId="318D2DF9" w:rsidR="000A28E5" w:rsidRDefault="000A28E5" w:rsidP="000A28E5">
      <w:pPr>
        <w:pStyle w:val="Titre2"/>
      </w:pPr>
      <w:bookmarkStart w:id="6" w:name="_Toc196319365"/>
      <w:r>
        <w:t>D’origine osseuse</w:t>
      </w:r>
      <w:bookmarkEnd w:id="6"/>
    </w:p>
    <w:p w14:paraId="102974D7" w14:textId="38265D68" w:rsidR="000A28E5" w:rsidRDefault="000232A5" w:rsidP="000232A5">
      <w:pPr>
        <w:pStyle w:val="Titre3"/>
      </w:pPr>
      <w:bookmarkStart w:id="7" w:name="_Toc196319366"/>
      <w:r>
        <w:t>Humérale</w:t>
      </w:r>
      <w:bookmarkEnd w:id="7"/>
    </w:p>
    <w:p w14:paraId="2534980A" w14:textId="4EEA978B" w:rsidR="000232A5" w:rsidRDefault="000232A5" w:rsidP="000232A5">
      <w:r>
        <w:t xml:space="preserve">Encoche de </w:t>
      </w:r>
      <w:proofErr w:type="spellStart"/>
      <w:r>
        <w:t>Malgaine</w:t>
      </w:r>
      <w:proofErr w:type="spellEnd"/>
      <w:r>
        <w:t xml:space="preserve"> (1955) : fracture impaction de la face postéro-supérieur de la tête sur le rebord antéro-inférieur de la glène</w:t>
      </w:r>
    </w:p>
    <w:p w14:paraId="23222A14" w14:textId="496CFE49" w:rsidR="009B0CD6" w:rsidRDefault="009B0CD6" w:rsidP="009B0CD6">
      <w:pPr>
        <w:pStyle w:val="Titre3"/>
      </w:pPr>
      <w:bookmarkStart w:id="8" w:name="_Toc196319367"/>
      <w:r>
        <w:t>Scapulaire</w:t>
      </w:r>
      <w:bookmarkEnd w:id="8"/>
      <w:r>
        <w:t xml:space="preserve"> </w:t>
      </w:r>
    </w:p>
    <w:p w14:paraId="756420D7" w14:textId="4C48DB67" w:rsidR="009B0CD6" w:rsidRDefault="009B0CD6" w:rsidP="009B0CD6">
      <w:r>
        <w:t>Fracture vraie ou éculement du bord antéro-inférieur de la glène</w:t>
      </w:r>
    </w:p>
    <w:p w14:paraId="5BF7F8D9" w14:textId="01F549F1" w:rsidR="00103527" w:rsidRDefault="00103527" w:rsidP="00103527">
      <w:pPr>
        <w:pStyle w:val="Titre1"/>
      </w:pPr>
      <w:bookmarkStart w:id="9" w:name="_Toc196319368"/>
      <w:r>
        <w:t>Tableau clinique</w:t>
      </w:r>
      <w:bookmarkEnd w:id="9"/>
    </w:p>
    <w:p w14:paraId="6800CE40" w14:textId="23155DB0" w:rsidR="00103527" w:rsidRDefault="00103527" w:rsidP="00103527">
      <w:pPr>
        <w:pStyle w:val="Titre2"/>
      </w:pPr>
      <w:bookmarkStart w:id="10" w:name="_Toc196319369"/>
      <w:r>
        <w:t>Formes aiguës</w:t>
      </w:r>
      <w:bookmarkEnd w:id="10"/>
    </w:p>
    <w:p w14:paraId="73E4942C" w14:textId="2A407B32" w:rsidR="00103527" w:rsidRDefault="00103527" w:rsidP="00103527">
      <w:r>
        <w:t>Luxation antérieur inaugurale</w:t>
      </w:r>
    </w:p>
    <w:p w14:paraId="02B9058C" w14:textId="739F60F0" w:rsidR="00103527" w:rsidRDefault="00103527" w:rsidP="00103527">
      <w:r>
        <w:t xml:space="preserve">La radio confirme la luxation </w:t>
      </w:r>
    </w:p>
    <w:p w14:paraId="34BBD6B5" w14:textId="4F254786" w:rsidR="00103527" w:rsidRDefault="00103527" w:rsidP="00103527">
      <w:r>
        <w:t xml:space="preserve">Dans certains ca : rupture de la coiffe des rotateurs </w:t>
      </w:r>
    </w:p>
    <w:p w14:paraId="47EDB71F" w14:textId="41CE446F" w:rsidR="00D872E3" w:rsidRDefault="00D872E3" w:rsidP="00D872E3">
      <w:pPr>
        <w:pStyle w:val="Titre2"/>
      </w:pPr>
      <w:bookmarkStart w:id="11" w:name="_Toc196319370"/>
      <w:r>
        <w:t>Formes chroniques : classification de WALCH</w:t>
      </w:r>
      <w:bookmarkEnd w:id="11"/>
    </w:p>
    <w:p w14:paraId="0E7F3984" w14:textId="5576A2DB" w:rsidR="00D872E3" w:rsidRDefault="00D872E3" w:rsidP="00D872E3">
      <w:r>
        <w:t>luxation récidivante</w:t>
      </w:r>
    </w:p>
    <w:p w14:paraId="21243B1B" w14:textId="25726B5E" w:rsidR="00D872E3" w:rsidRDefault="00D872E3" w:rsidP="00D872E3">
      <w:r>
        <w:t>subluxation récidivante</w:t>
      </w:r>
    </w:p>
    <w:p w14:paraId="384BC3E3" w14:textId="471FB4C2" w:rsidR="00D872E3" w:rsidRDefault="00D872E3" w:rsidP="00D872E3">
      <w:r>
        <w:t>Epaule douloureuse par accident d’instabilités passées inaperçus (PATTE 1988)</w:t>
      </w:r>
    </w:p>
    <w:p w14:paraId="24F880BE" w14:textId="5DD4D60A" w:rsidR="00D872E3" w:rsidRDefault="00D872E3" w:rsidP="00D872E3">
      <w:r>
        <w:t>Luxation invétérée (négligé &gt; 3 mois)</w:t>
      </w:r>
    </w:p>
    <w:p w14:paraId="7CBF16F5" w14:textId="64549864" w:rsidR="00AA5BE7" w:rsidRDefault="00AA5BE7" w:rsidP="00AA5BE7">
      <w:pPr>
        <w:pStyle w:val="Titre3"/>
      </w:pPr>
      <w:bookmarkStart w:id="12" w:name="_Toc196319371"/>
      <w:r>
        <w:t>Luxation récidivante</w:t>
      </w:r>
      <w:bookmarkEnd w:id="12"/>
    </w:p>
    <w:p w14:paraId="03CCD6AF" w14:textId="024F674E" w:rsidR="00AA5BE7" w:rsidRDefault="00AA5BE7" w:rsidP="00AA5BE7">
      <w:r>
        <w:t>Apanage des jeunes sportifs</w:t>
      </w:r>
    </w:p>
    <w:p w14:paraId="47F4B46E" w14:textId="7B4E4BDC" w:rsidR="00AA5BE7" w:rsidRDefault="00AA5BE7" w:rsidP="00AA5BE7">
      <w:r>
        <w:t xml:space="preserve">Demander circonstance d’apparition et le traitement de la première luxation </w:t>
      </w:r>
    </w:p>
    <w:p w14:paraId="0AF8B94F" w14:textId="2B5B9C4A" w:rsidR="00AA5BE7" w:rsidRDefault="00AA5BE7" w:rsidP="00AA5BE7">
      <w:r>
        <w:t>Chirurgie si invalidité : ré-luxation très facile</w:t>
      </w:r>
    </w:p>
    <w:p w14:paraId="6E25C79E" w14:textId="1EB48518" w:rsidR="00E47799" w:rsidRDefault="00E47799" w:rsidP="00AA5BE7">
      <w:r>
        <w:t xml:space="preserve">Favorisé par : </w:t>
      </w:r>
    </w:p>
    <w:p w14:paraId="4ED6BA43" w14:textId="0E3EC168" w:rsidR="00E47799" w:rsidRDefault="00E47799" w:rsidP="00D53081">
      <w:pPr>
        <w:pStyle w:val="Titre4"/>
      </w:pPr>
      <w:r>
        <w:lastRenderedPageBreak/>
        <w:t xml:space="preserve">Hyper laxité constitutionnelle </w:t>
      </w:r>
    </w:p>
    <w:p w14:paraId="20FCB6C3" w14:textId="1B047781" w:rsidR="00E47799" w:rsidRDefault="00E47799" w:rsidP="00D53081">
      <w:pPr>
        <w:pStyle w:val="Titre4"/>
      </w:pPr>
      <w:r>
        <w:t>Hyper laxité inférieure : test du sillon (sulcus test)</w:t>
      </w:r>
      <w:r w:rsidR="00D53081">
        <w:t> :</w:t>
      </w:r>
    </w:p>
    <w:p w14:paraId="3A4B5A66" w14:textId="166DECB1" w:rsidR="0072026A" w:rsidRDefault="0072026A" w:rsidP="0072026A">
      <w:pPr>
        <w:numPr>
          <w:ilvl w:val="2"/>
          <w:numId w:val="9"/>
        </w:numPr>
      </w:pPr>
      <w:r>
        <w:t>Patient assis, thorax bien droit</w:t>
      </w:r>
    </w:p>
    <w:p w14:paraId="2690A746" w14:textId="024D02E8" w:rsidR="0072026A" w:rsidRDefault="0072026A" w:rsidP="0072026A">
      <w:pPr>
        <w:numPr>
          <w:ilvl w:val="2"/>
          <w:numId w:val="9"/>
        </w:numPr>
      </w:pPr>
      <w:r>
        <w:t xml:space="preserve">Comblement du sillon </w:t>
      </w:r>
      <w:proofErr w:type="spellStart"/>
      <w:r>
        <w:t>delto</w:t>
      </w:r>
      <w:proofErr w:type="spellEnd"/>
      <w:r>
        <w:t>-pectorale</w:t>
      </w:r>
    </w:p>
    <w:p w14:paraId="75A030AC" w14:textId="00B71E90" w:rsidR="0072026A" w:rsidRDefault="0072026A" w:rsidP="0072026A">
      <w:pPr>
        <w:numPr>
          <w:ilvl w:val="2"/>
          <w:numId w:val="9"/>
        </w:numPr>
      </w:pPr>
      <w:r>
        <w:t>Vacuité de la glène</w:t>
      </w:r>
    </w:p>
    <w:p w14:paraId="213BA1C3" w14:textId="5E5ECB0A" w:rsidR="0072026A" w:rsidRDefault="0072026A" w:rsidP="0072026A">
      <w:pPr>
        <w:numPr>
          <w:ilvl w:val="2"/>
          <w:numId w:val="9"/>
        </w:numPr>
      </w:pPr>
      <w:r>
        <w:t>Elargissement antéro-postérieur</w:t>
      </w:r>
    </w:p>
    <w:p w14:paraId="083A1523" w14:textId="72038287" w:rsidR="00E47799" w:rsidRDefault="00E47799" w:rsidP="00D53081">
      <w:pPr>
        <w:pStyle w:val="Titre4"/>
      </w:pPr>
      <w:r>
        <w:t>Laxité antéro-postérieur : tiroir</w:t>
      </w:r>
    </w:p>
    <w:p w14:paraId="5F752D86" w14:textId="1F041759" w:rsidR="0072026A" w:rsidRDefault="0072026A" w:rsidP="0072026A">
      <w:pPr>
        <w:numPr>
          <w:ilvl w:val="2"/>
          <w:numId w:val="9"/>
        </w:numPr>
      </w:pPr>
      <w:r>
        <w:t xml:space="preserve">Mobilisation de la tête humérale par rapport à la glène </w:t>
      </w:r>
    </w:p>
    <w:p w14:paraId="79D8C4E9" w14:textId="7B020D46" w:rsidR="00E47799" w:rsidRDefault="00E47799" w:rsidP="00D53081">
      <w:pPr>
        <w:pStyle w:val="Titre4"/>
      </w:pPr>
      <w:r>
        <w:t xml:space="preserve">Tes de l’abduction passive </w:t>
      </w:r>
    </w:p>
    <w:p w14:paraId="7B007836" w14:textId="172D38DD" w:rsidR="0072026A" w:rsidRDefault="0072026A" w:rsidP="0072026A">
      <w:pPr>
        <w:numPr>
          <w:ilvl w:val="2"/>
          <w:numId w:val="9"/>
        </w:numPr>
      </w:pPr>
      <w:r>
        <w:t>Normalement l’abduction à 70°</w:t>
      </w:r>
    </w:p>
    <w:p w14:paraId="57D68960" w14:textId="39BDA20D" w:rsidR="0072026A" w:rsidRDefault="0072026A" w:rsidP="0072026A">
      <w:pPr>
        <w:numPr>
          <w:ilvl w:val="2"/>
          <w:numId w:val="9"/>
        </w:numPr>
      </w:pPr>
      <w:r>
        <w:t>En cas d’hyper laxité, l’abduction supérieur 90°</w:t>
      </w:r>
    </w:p>
    <w:p w14:paraId="354EDBFD" w14:textId="5513A84A" w:rsidR="00E47799" w:rsidRDefault="00E47799" w:rsidP="00D53081">
      <w:pPr>
        <w:pStyle w:val="Titre4"/>
      </w:pPr>
      <w:r>
        <w:t>Test de l’appréhension</w:t>
      </w:r>
    </w:p>
    <w:p w14:paraId="32C49E6F" w14:textId="6444F542" w:rsidR="002D582E" w:rsidRDefault="002D582E" w:rsidP="002D582E">
      <w:pPr>
        <w:numPr>
          <w:ilvl w:val="2"/>
          <w:numId w:val="9"/>
        </w:numPr>
      </w:pPr>
      <w:r>
        <w:t>La mise en rotation externe lorsque l’épaule est en abduction, crée une appréhension</w:t>
      </w:r>
    </w:p>
    <w:p w14:paraId="54B3BE5F" w14:textId="374350CB" w:rsidR="00362DF5" w:rsidRDefault="00362DF5" w:rsidP="00362DF5">
      <w:pPr>
        <w:pStyle w:val="Titre3"/>
      </w:pPr>
      <w:bookmarkStart w:id="13" w:name="_Toc196319372"/>
      <w:r>
        <w:t>Subluxation récidivantes</w:t>
      </w:r>
      <w:bookmarkEnd w:id="13"/>
    </w:p>
    <w:p w14:paraId="722602B8" w14:textId="5FDC013D" w:rsidR="00362DF5" w:rsidRDefault="00362DF5" w:rsidP="00362DF5">
      <w:r>
        <w:t xml:space="preserve">Douleur et sensation de déboitement : sd du bourrelet glénoïdien de </w:t>
      </w:r>
      <w:proofErr w:type="spellStart"/>
      <w:r>
        <w:t>Trillat</w:t>
      </w:r>
      <w:proofErr w:type="spellEnd"/>
      <w:r>
        <w:t xml:space="preserve"> et </w:t>
      </w:r>
      <w:proofErr w:type="spellStart"/>
      <w:r>
        <w:t>Déjour</w:t>
      </w:r>
      <w:proofErr w:type="spellEnd"/>
    </w:p>
    <w:p w14:paraId="42C0E7C9" w14:textId="50A22BF1" w:rsidR="00362DF5" w:rsidRDefault="00362DF5" w:rsidP="00362DF5">
      <w:r>
        <w:t>Selon ROWE, c’est le sd du bras mort (</w:t>
      </w:r>
      <w:proofErr w:type="spellStart"/>
      <w:r>
        <w:t>dead</w:t>
      </w:r>
      <w:proofErr w:type="spellEnd"/>
      <w:r>
        <w:t xml:space="preserve"> arm </w:t>
      </w:r>
      <w:proofErr w:type="spellStart"/>
      <w:r>
        <w:t>syndrom</w:t>
      </w:r>
      <w:proofErr w:type="spellEnd"/>
      <w:r>
        <w:t>)</w:t>
      </w:r>
    </w:p>
    <w:p w14:paraId="16287DEB" w14:textId="27B1FE68" w:rsidR="00362DF5" w:rsidRDefault="00362DF5" w:rsidP="00362DF5">
      <w:pPr>
        <w:pStyle w:val="Titre3"/>
      </w:pPr>
      <w:bookmarkStart w:id="14" w:name="_Toc196319373"/>
      <w:r>
        <w:t>Epaule douloureuse</w:t>
      </w:r>
      <w:bookmarkEnd w:id="14"/>
      <w:r>
        <w:t xml:space="preserve"> </w:t>
      </w:r>
    </w:p>
    <w:p w14:paraId="64ABA3A6" w14:textId="76723380" w:rsidR="00362DF5" w:rsidRDefault="00362DF5" w:rsidP="00362DF5">
      <w:r>
        <w:t xml:space="preserve">Sd algique pur sans notion d’instabilité subjective </w:t>
      </w:r>
    </w:p>
    <w:p w14:paraId="6F60FA60" w14:textId="5CC15809" w:rsidR="00362DF5" w:rsidRDefault="00362DF5" w:rsidP="00362DF5">
      <w:r>
        <w:t>Un bilan s’impose à la recherche</w:t>
      </w:r>
      <w:r w:rsidR="00D53081">
        <w:t> :</w:t>
      </w:r>
    </w:p>
    <w:p w14:paraId="23F647E1" w14:textId="46ECE510" w:rsidR="00362DF5" w:rsidRDefault="00362DF5" w:rsidP="00362DF5">
      <w:pPr>
        <w:numPr>
          <w:ilvl w:val="1"/>
          <w:numId w:val="9"/>
        </w:numPr>
      </w:pPr>
      <w:r>
        <w:t>Appréhension lors de la rotation externe et de la rétropulsion : l’appréhension se lit sur le faciès du patient (Test d’appréhension)</w:t>
      </w:r>
    </w:p>
    <w:p w14:paraId="723A77EE" w14:textId="71F4B62C" w:rsidR="00362DF5" w:rsidRDefault="00362DF5" w:rsidP="00362DF5">
      <w:pPr>
        <w:numPr>
          <w:ilvl w:val="1"/>
          <w:numId w:val="9"/>
        </w:numPr>
      </w:pPr>
      <w:r>
        <w:t>Tiroir  antérieur</w:t>
      </w:r>
    </w:p>
    <w:p w14:paraId="7CF6E9F7" w14:textId="38A3760E" w:rsidR="00362DF5" w:rsidRDefault="00362DF5" w:rsidP="00362DF5">
      <w:pPr>
        <w:numPr>
          <w:ilvl w:val="1"/>
          <w:numId w:val="9"/>
        </w:numPr>
      </w:pPr>
      <w:r>
        <w:t>Laxité inférieur : signe de NEER : la traction vers le bas du bras donne une dépression sous acromial, souvent bilatérale car constitutionnelle.</w:t>
      </w:r>
    </w:p>
    <w:p w14:paraId="1FF232E9" w14:textId="6DB12E79" w:rsidR="00C440FE" w:rsidRDefault="00C440FE" w:rsidP="00C440FE">
      <w:pPr>
        <w:pStyle w:val="Titre3"/>
      </w:pPr>
      <w:bookmarkStart w:id="15" w:name="_Toc196319374"/>
      <w:r>
        <w:t>Luxation invétérée</w:t>
      </w:r>
      <w:bookmarkEnd w:id="15"/>
    </w:p>
    <w:p w14:paraId="400DD500" w14:textId="01A6771B" w:rsidR="00C440FE" w:rsidRDefault="00C440FE" w:rsidP="00C440FE">
      <w:r>
        <w:t>Luxation ancienne plus de 20 jours, sujet âgé</w:t>
      </w:r>
    </w:p>
    <w:p w14:paraId="002A82B1" w14:textId="466C16A3" w:rsidR="00C440FE" w:rsidRDefault="00C440FE" w:rsidP="00C440FE">
      <w:r>
        <w:t>Date exacte difficile à connaître</w:t>
      </w:r>
    </w:p>
    <w:p w14:paraId="27AF6E59" w14:textId="659ACBDC" w:rsidR="00E0331D" w:rsidRDefault="00E0331D" w:rsidP="00E0331D">
      <w:pPr>
        <w:pStyle w:val="Titre1"/>
      </w:pPr>
      <w:bookmarkStart w:id="16" w:name="_Toc196319375"/>
      <w:r>
        <w:lastRenderedPageBreak/>
        <w:t>Traitement</w:t>
      </w:r>
      <w:bookmarkEnd w:id="16"/>
    </w:p>
    <w:p w14:paraId="102920C8" w14:textId="34AF6E82" w:rsidR="00E0331D" w:rsidRDefault="00E0331D" w:rsidP="00E0331D">
      <w:pPr>
        <w:pStyle w:val="Titre2"/>
      </w:pPr>
      <w:bookmarkStart w:id="17" w:name="_Toc196319376"/>
      <w:r>
        <w:t>Fo</w:t>
      </w:r>
      <w:r w:rsidR="004A5586">
        <w:t>r</w:t>
      </w:r>
      <w:r>
        <w:t>mes aiguës</w:t>
      </w:r>
      <w:bookmarkEnd w:id="17"/>
    </w:p>
    <w:p w14:paraId="6BD91895" w14:textId="2E23F65F" w:rsidR="00E0331D" w:rsidRDefault="00E0331D" w:rsidP="00E0331D">
      <w:r w:rsidRPr="00E0331D">
        <w:rPr>
          <w:color w:val="ED7D31" w:themeColor="accent2"/>
        </w:rPr>
        <w:t>Réduc</w:t>
      </w:r>
      <w:r w:rsidR="004A5586">
        <w:rPr>
          <w:color w:val="ED7D31" w:themeColor="accent2"/>
        </w:rPr>
        <w:t>t</w:t>
      </w:r>
      <w:r w:rsidRPr="00E0331D">
        <w:rPr>
          <w:color w:val="ED7D31" w:themeColor="accent2"/>
        </w:rPr>
        <w:t xml:space="preserve">ion en urgence </w:t>
      </w:r>
      <w:r>
        <w:t>avec o sans anesthésie (Kocher Dor : rota</w:t>
      </w:r>
      <w:r w:rsidR="004A5586">
        <w:t>tion externe</w:t>
      </w:r>
      <w:r>
        <w:t xml:space="preserve"> lente et douce)</w:t>
      </w:r>
    </w:p>
    <w:p w14:paraId="246912BD" w14:textId="2F5F797D" w:rsidR="00E0331D" w:rsidRDefault="00E0331D" w:rsidP="00E0331D">
      <w:r w:rsidRPr="00E0331D">
        <w:rPr>
          <w:color w:val="ED7D31" w:themeColor="accent2"/>
        </w:rPr>
        <w:t>Immobilisation</w:t>
      </w:r>
      <w:r>
        <w:t xml:space="preserve"> (Mayo </w:t>
      </w:r>
      <w:proofErr w:type="spellStart"/>
      <w:r>
        <w:t>clinic</w:t>
      </w:r>
      <w:proofErr w:type="spellEnd"/>
      <w:r>
        <w:t>) de dure variable selon l’âge car risque : de capsulite rétractile. D’où 6 semaines si mois de 20 ans, 3 semaines si entre 20 – 30 ans, et 15 jours si au-delà de 30 ans.</w:t>
      </w:r>
    </w:p>
    <w:p w14:paraId="57D47242" w14:textId="3A9713D0" w:rsidR="00E0331D" w:rsidRDefault="00E0331D" w:rsidP="00E0331D">
      <w:r w:rsidRPr="00E0331D">
        <w:rPr>
          <w:color w:val="ED7D31" w:themeColor="accent2"/>
        </w:rPr>
        <w:t>Rééducation post-thérapeutique</w:t>
      </w:r>
      <w:r>
        <w:t xml:space="preserve"> pour éviter la capsulite rétractile, l’</w:t>
      </w:r>
      <w:proofErr w:type="spellStart"/>
      <w:r>
        <w:t>algoneurodystrophique</w:t>
      </w:r>
      <w:proofErr w:type="spellEnd"/>
      <w:r>
        <w:t xml:space="preserve"> </w:t>
      </w:r>
    </w:p>
    <w:p w14:paraId="39744DA4" w14:textId="02B37662" w:rsidR="00E0331D" w:rsidRDefault="00E0331D" w:rsidP="00E0331D">
      <w:r w:rsidRPr="00E0331D">
        <w:rPr>
          <w:color w:val="ED7D31" w:themeColor="accent2"/>
        </w:rPr>
        <w:t>Dans tous les cas</w:t>
      </w:r>
      <w:r>
        <w:t> : rechercher complication vasculo-nerveuse et rupture de la coiffe.</w:t>
      </w:r>
    </w:p>
    <w:p w14:paraId="50DFD4F3" w14:textId="26B71462" w:rsidR="00E0331D" w:rsidRDefault="00E0331D" w:rsidP="00E0331D">
      <w:r>
        <w:t>La méthode de réduction progressive sans anesthésie</w:t>
      </w:r>
    </w:p>
    <w:p w14:paraId="35942CF7" w14:textId="750B6815" w:rsidR="00E0331D" w:rsidRDefault="00E0331D" w:rsidP="00112794">
      <w:pPr>
        <w:numPr>
          <w:ilvl w:val="1"/>
          <w:numId w:val="9"/>
        </w:numPr>
      </w:pPr>
      <w:r>
        <w:t xml:space="preserve">Traction </w:t>
      </w:r>
      <w:r w:rsidR="00112794">
        <w:sym w:font="Wingdings" w:char="F0E8"/>
      </w:r>
      <w:r w:rsidR="00112794">
        <w:t xml:space="preserve"> </w:t>
      </w:r>
      <w:r>
        <w:t>Rotation exter</w:t>
      </w:r>
      <w:r w:rsidR="00112794">
        <w:t xml:space="preserve">ne </w:t>
      </w:r>
      <w:r w:rsidR="00112794">
        <w:sym w:font="Wingdings" w:char="F0E8"/>
      </w:r>
      <w:r w:rsidR="00112794">
        <w:t xml:space="preserve"> </w:t>
      </w:r>
      <w:r>
        <w:t>Adduction</w:t>
      </w:r>
      <w:r w:rsidR="00112794">
        <w:t xml:space="preserve"> </w:t>
      </w:r>
      <w:r w:rsidR="00112794">
        <w:sym w:font="Wingdings" w:char="F0E8"/>
      </w:r>
      <w:r w:rsidR="00112794">
        <w:t xml:space="preserve"> </w:t>
      </w:r>
      <w:r>
        <w:t>Rotation interne</w:t>
      </w:r>
    </w:p>
    <w:p w14:paraId="16F52A7A" w14:textId="0575AF92" w:rsidR="00AE7ED2" w:rsidRDefault="00AE7ED2" w:rsidP="00AE7ED2">
      <w:r>
        <w:t>Réduction sous anesthésie générale</w:t>
      </w:r>
    </w:p>
    <w:p w14:paraId="4C72B45E" w14:textId="0EDD16F5" w:rsidR="00AE7ED2" w:rsidRDefault="00AE7ED2" w:rsidP="00AE7ED2">
      <w:pPr>
        <w:numPr>
          <w:ilvl w:val="1"/>
          <w:numId w:val="9"/>
        </w:numPr>
      </w:pPr>
      <w:r>
        <w:t xml:space="preserve">Traction dans l’axe avec contre appui dans l’aisselle </w:t>
      </w:r>
    </w:p>
    <w:p w14:paraId="741519A6" w14:textId="7B7A4864" w:rsidR="00717035" w:rsidRDefault="00717035" w:rsidP="00717035">
      <w:pPr>
        <w:pStyle w:val="Titre2"/>
      </w:pPr>
      <w:bookmarkStart w:id="18" w:name="_Toc196319377"/>
      <w:r>
        <w:t>Formes récidivantes</w:t>
      </w:r>
      <w:bookmarkEnd w:id="18"/>
      <w:r>
        <w:t xml:space="preserve"> </w:t>
      </w:r>
    </w:p>
    <w:p w14:paraId="270EBD20" w14:textId="4E6108E7" w:rsidR="00717035" w:rsidRDefault="00717035" w:rsidP="00717035">
      <w:r>
        <w:t>Capsuloplastie antérieu</w:t>
      </w:r>
      <w:r w:rsidR="0000782B">
        <w:t>re</w:t>
      </w:r>
      <w:r>
        <w:t xml:space="preserve"> de </w:t>
      </w:r>
      <w:proofErr w:type="spellStart"/>
      <w:r>
        <w:t>Bankart</w:t>
      </w:r>
      <w:proofErr w:type="spellEnd"/>
    </w:p>
    <w:p w14:paraId="2C8283DB" w14:textId="54377D79" w:rsidR="00717035" w:rsidRDefault="00717035" w:rsidP="00717035">
      <w:r>
        <w:t xml:space="preserve">Capsuloplastie antérieur de </w:t>
      </w:r>
      <w:proofErr w:type="spellStart"/>
      <w:r>
        <w:t>Rochwood</w:t>
      </w:r>
      <w:proofErr w:type="spellEnd"/>
    </w:p>
    <w:p w14:paraId="6FD57760" w14:textId="3433C56A" w:rsidR="00717035" w:rsidRDefault="00717035" w:rsidP="00717035">
      <w:r>
        <w:t xml:space="preserve">Butée coracoïdienne de </w:t>
      </w:r>
      <w:proofErr w:type="spellStart"/>
      <w:r>
        <w:t>Lartarjet</w:t>
      </w:r>
      <w:proofErr w:type="spellEnd"/>
    </w:p>
    <w:p w14:paraId="0287F0F6" w14:textId="06B73349" w:rsidR="00717035" w:rsidRDefault="00717035" w:rsidP="00717035">
      <w:r>
        <w:t>Triple verrouillage antérieur de PATTE (B + L)</w:t>
      </w:r>
    </w:p>
    <w:p w14:paraId="2AEFF4FC" w14:textId="6DCA10F2" w:rsidR="00717035" w:rsidRDefault="00717035" w:rsidP="00717035">
      <w:r>
        <w:t>Capsuloplastie inférieur de NER : instabilité inférieure</w:t>
      </w:r>
    </w:p>
    <w:sectPr w:rsidR="00717035" w:rsidSect="00FF6810">
      <w:headerReference w:type="default" r:id="rId8"/>
      <w:footerReference w:type="default" r:id="rId9"/>
      <w:pgSz w:w="8391" w:h="11906" w:code="11"/>
      <w:pgMar w:top="737" w:right="851" w:bottom="1418" w:left="851" w:header="283" w:footer="90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94632" w14:textId="77777777" w:rsidR="008471A2" w:rsidRDefault="008471A2" w:rsidP="00FE6A79">
      <w:pPr>
        <w:spacing w:line="240" w:lineRule="auto"/>
      </w:pPr>
      <w:r>
        <w:separator/>
      </w:r>
    </w:p>
  </w:endnote>
  <w:endnote w:type="continuationSeparator" w:id="0">
    <w:p w14:paraId="5C41418C" w14:textId="77777777" w:rsidR="008471A2" w:rsidRDefault="008471A2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0000000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27784622"/>
      <w:docPartObj>
        <w:docPartGallery w:val="Page Numbers (Bottom of Page)"/>
        <w:docPartUnique/>
      </w:docPartObj>
    </w:sdtPr>
    <w:sdtEndPr/>
    <w:sdtContent>
      <w:sdt>
        <w:sdtPr>
          <w:id w:val="-339166505"/>
          <w:docPartObj>
            <w:docPartGallery w:val="Page Numbers (Top of Page)"/>
            <w:docPartUnique/>
          </w:docPartObj>
        </w:sdtPr>
        <w:sdtEndPr/>
        <w:sdtContent>
          <w:p w14:paraId="1FDF7405" w14:textId="1F875BB2" w:rsidR="00B42480" w:rsidRDefault="00B42480" w:rsidP="007273B4">
            <w:pPr>
              <w:pStyle w:val="Pieddepage"/>
              <w:numPr>
                <w:ilvl w:val="0"/>
                <w:numId w:val="0"/>
              </w:numPr>
              <w:ind w:left="567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66BE8">
              <w:rPr>
                <w:b/>
                <w:bCs/>
                <w:noProof/>
              </w:rPr>
              <w:t>73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53081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A72AC7F" w14:textId="77777777" w:rsidR="00B42480" w:rsidRPr="007273B4" w:rsidRDefault="00B42480" w:rsidP="007273B4">
    <w:pPr>
      <w:pStyle w:val="Pieddepage"/>
      <w:numPr>
        <w:ilvl w:val="0"/>
        <w:numId w:val="0"/>
      </w:numPr>
      <w:ind w:left="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D63C17" w14:textId="77777777" w:rsidR="008471A2" w:rsidRDefault="008471A2" w:rsidP="00FE6A79">
      <w:pPr>
        <w:spacing w:line="240" w:lineRule="auto"/>
      </w:pPr>
      <w:r>
        <w:separator/>
      </w:r>
    </w:p>
  </w:footnote>
  <w:footnote w:type="continuationSeparator" w:id="0">
    <w:p w14:paraId="59E006CD" w14:textId="77777777" w:rsidR="008471A2" w:rsidRDefault="008471A2" w:rsidP="00FE6A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1E9BE8" w14:textId="77777777" w:rsidR="00B42480" w:rsidRPr="0087364D" w:rsidRDefault="00B42480" w:rsidP="007273B4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proofErr w:type="spellStart"/>
    <w:r>
      <w:rPr>
        <w:rFonts w:cs="Times New Roman"/>
      </w:rPr>
      <w:t>ZICO’s</w:t>
    </w:r>
    <w:proofErr w:type="spellEnd"/>
    <w:r>
      <w:rPr>
        <w:rFonts w:cs="Times New Roman"/>
      </w:rPr>
      <w:t xml:space="preserve"> note </w:t>
    </w:r>
    <w:proofErr w:type="spellStart"/>
    <w:r>
      <w:rPr>
        <w:rFonts w:cs="Times New Roman"/>
      </w:rPr>
      <w:t>taking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0E98"/>
    <w:multiLevelType w:val="multilevel"/>
    <w:tmpl w:val="09D0B058"/>
    <w:lvl w:ilvl="0">
      <w:start w:val="1"/>
      <w:numFmt w:val="upperRoman"/>
      <w:pStyle w:val="Titre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1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3" w15:restartNumberingAfterBreak="0">
    <w:nsid w:val="54910E69"/>
    <w:multiLevelType w:val="multilevel"/>
    <w:tmpl w:val="C494180C"/>
    <w:lvl w:ilvl="0">
      <w:start w:val="1"/>
      <w:numFmt w:val="upperRoman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2 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2 %3 %4."/>
      <w:lvlJc w:val="left"/>
      <w:pPr>
        <w:ind w:left="1287" w:hanging="1003"/>
      </w:pPr>
      <w:rPr>
        <w:rFonts w:hint="default"/>
      </w:rPr>
    </w:lvl>
    <w:lvl w:ilvl="4">
      <w:start w:val="1"/>
      <w:numFmt w:val="decimal"/>
      <w:lvlText w:val="%2 %3 %4 %5."/>
      <w:lvlJc w:val="left"/>
      <w:pPr>
        <w:ind w:left="1854" w:hanging="1287"/>
      </w:pPr>
      <w:rPr>
        <w:rFonts w:hint="default"/>
      </w:rPr>
    </w:lvl>
    <w:lvl w:ilvl="5">
      <w:start w:val="1"/>
      <w:numFmt w:val="decimal"/>
      <w:lvlText w:val="%2 %3 %4 %5 %6."/>
      <w:lvlJc w:val="left"/>
      <w:pPr>
        <w:ind w:left="2268" w:hanging="1417"/>
      </w:pPr>
      <w:rPr>
        <w:rFonts w:hint="default"/>
      </w:rPr>
    </w:lvl>
    <w:lvl w:ilvl="6">
      <w:start w:val="1"/>
      <w:numFmt w:val="none"/>
      <w:lvlText w:val=""/>
      <w:lvlJc w:val="left"/>
      <w:pPr>
        <w:ind w:left="1701" w:hanging="1701"/>
      </w:pPr>
      <w:rPr>
        <w:rFonts w:ascii="Leelawadee" w:hAnsi="Leelawadee" w:hint="default"/>
        <w:b/>
        <w:i w:val="0"/>
        <w:color w:val="C45911" w:themeColor="accent2" w:themeShade="BF"/>
        <w:sz w:val="20"/>
        <w:u w:val="single" w:color="C45911" w:themeColor="accent2" w:themeShade="BF"/>
      </w:rPr>
    </w:lvl>
    <w:lvl w:ilvl="7">
      <w:start w:val="1"/>
      <w:numFmt w:val="none"/>
      <w:lvlText w:val=""/>
      <w:lvlJc w:val="left"/>
      <w:pPr>
        <w:ind w:left="1701" w:hanging="1701"/>
      </w:pPr>
      <w:rPr>
        <w:rFonts w:ascii="Leelawadee" w:hAnsi="Leelawadee" w:hint="default"/>
        <w:b/>
        <w:i w:val="0"/>
        <w:color w:val="2E74B5" w:themeColor="accent5" w:themeShade="BF"/>
        <w:sz w:val="20"/>
        <w:u w:val="single" w:color="2E74B5" w:themeColor="accent5" w:themeShade="BF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60DC1C66"/>
    <w:multiLevelType w:val="multilevel"/>
    <w:tmpl w:val="262845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0878CE"/>
    <w:multiLevelType w:val="hybridMultilevel"/>
    <w:tmpl w:val="7772DA7E"/>
    <w:lvl w:ilvl="0" w:tplc="CE3AFB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0B120F"/>
    <w:multiLevelType w:val="hybridMultilevel"/>
    <w:tmpl w:val="51FA6A18"/>
    <w:lvl w:ilvl="0" w:tplc="BB1E1B80">
      <w:start w:val="1"/>
      <w:numFmt w:val="bullet"/>
      <w:lvlText w:val="-"/>
      <w:lvlJc w:val="left"/>
      <w:pPr>
        <w:ind w:left="284" w:hanging="284"/>
      </w:pPr>
      <w:rPr>
        <w:rFonts w:ascii="Leelawadee" w:eastAsiaTheme="minorHAnsi" w:hAnsi="Leelawadee" w:hint="default"/>
        <w:b/>
        <w:sz w:val="22"/>
      </w:rPr>
    </w:lvl>
    <w:lvl w:ilvl="1" w:tplc="040C000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2" w:tplc="63287126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 w:tplc="040C0003">
      <w:start w:val="1"/>
      <w:numFmt w:val="bullet"/>
      <w:lvlText w:val="o"/>
      <w:lvlJc w:val="left"/>
      <w:pPr>
        <w:ind w:left="1134" w:hanging="283"/>
      </w:pPr>
      <w:rPr>
        <w:rFonts w:ascii="Courier New" w:hAnsi="Courier New" w:cs="Courier New" w:hint="default"/>
      </w:rPr>
    </w:lvl>
    <w:lvl w:ilvl="4" w:tplc="040C0001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5" w:tplc="56F0C1A2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E744DC"/>
    <w:multiLevelType w:val="hybridMultilevel"/>
    <w:tmpl w:val="63B4696E"/>
    <w:lvl w:ilvl="0" w:tplc="E334EA8A">
      <w:start w:val="1"/>
      <w:numFmt w:val="upperRoman"/>
      <w:lvlText w:val="%1."/>
      <w:lvlJc w:val="left"/>
      <w:pPr>
        <w:ind w:left="1080" w:hanging="720"/>
      </w:pPr>
      <w:rPr>
        <w:rFonts w:cstheme="minorHAnsi" w:hint="default"/>
        <w:b/>
        <w:color w:val="0563C1" w:themeColor="hyperlink"/>
        <w:sz w:val="20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2"/>
  </w:num>
  <w:num w:numId="8">
    <w:abstractNumId w:val="2"/>
  </w:num>
  <w:num w:numId="9">
    <w:abstractNumId w:val="2"/>
  </w:num>
  <w:num w:numId="10">
    <w:abstractNumId w:val="0"/>
    <w:lvlOverride w:ilvl="0">
      <w:startOverride w:val="1"/>
    </w:lvlOverride>
  </w:num>
  <w:num w:numId="11">
    <w:abstractNumId w:val="7"/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6"/>
  </w:num>
  <w:num w:numId="16">
    <w:abstractNumId w:val="3"/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mirrorMargins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1499"/>
    <w:rsid w:val="0000782B"/>
    <w:rsid w:val="000232A5"/>
    <w:rsid w:val="00023E72"/>
    <w:rsid w:val="000270F9"/>
    <w:rsid w:val="0003285B"/>
    <w:rsid w:val="0003623A"/>
    <w:rsid w:val="00037EC2"/>
    <w:rsid w:val="00051C3E"/>
    <w:rsid w:val="000749E4"/>
    <w:rsid w:val="00083CCD"/>
    <w:rsid w:val="00084C98"/>
    <w:rsid w:val="00084E44"/>
    <w:rsid w:val="000974C3"/>
    <w:rsid w:val="000A28E5"/>
    <w:rsid w:val="000A3871"/>
    <w:rsid w:val="000A6F78"/>
    <w:rsid w:val="000B1A1E"/>
    <w:rsid w:val="000B3213"/>
    <w:rsid w:val="000D0DE2"/>
    <w:rsid w:val="000D793D"/>
    <w:rsid w:val="000E0E06"/>
    <w:rsid w:val="000F05B6"/>
    <w:rsid w:val="00103527"/>
    <w:rsid w:val="001061AB"/>
    <w:rsid w:val="00112794"/>
    <w:rsid w:val="00116313"/>
    <w:rsid w:val="00116D6F"/>
    <w:rsid w:val="001248D5"/>
    <w:rsid w:val="001252F1"/>
    <w:rsid w:val="0012627D"/>
    <w:rsid w:val="00172235"/>
    <w:rsid w:val="001825A1"/>
    <w:rsid w:val="001A3589"/>
    <w:rsid w:val="001A4CA6"/>
    <w:rsid w:val="001C49B6"/>
    <w:rsid w:val="001D30AD"/>
    <w:rsid w:val="001E64F6"/>
    <w:rsid w:val="00200AD2"/>
    <w:rsid w:val="00207755"/>
    <w:rsid w:val="00231028"/>
    <w:rsid w:val="00247351"/>
    <w:rsid w:val="0025443C"/>
    <w:rsid w:val="00261AFD"/>
    <w:rsid w:val="00265D5A"/>
    <w:rsid w:val="00273749"/>
    <w:rsid w:val="00275110"/>
    <w:rsid w:val="002A2F2C"/>
    <w:rsid w:val="002A3820"/>
    <w:rsid w:val="002B3564"/>
    <w:rsid w:val="002B4847"/>
    <w:rsid w:val="002D582E"/>
    <w:rsid w:val="002D6A7A"/>
    <w:rsid w:val="002D6B09"/>
    <w:rsid w:val="002E5299"/>
    <w:rsid w:val="002E563B"/>
    <w:rsid w:val="002F2BE2"/>
    <w:rsid w:val="003024F5"/>
    <w:rsid w:val="00303BAC"/>
    <w:rsid w:val="00312D47"/>
    <w:rsid w:val="00313400"/>
    <w:rsid w:val="00314154"/>
    <w:rsid w:val="00314410"/>
    <w:rsid w:val="00317959"/>
    <w:rsid w:val="003240F9"/>
    <w:rsid w:val="00357514"/>
    <w:rsid w:val="00362DF5"/>
    <w:rsid w:val="00367057"/>
    <w:rsid w:val="003739A0"/>
    <w:rsid w:val="00392CE8"/>
    <w:rsid w:val="003A2CDA"/>
    <w:rsid w:val="003A7CB7"/>
    <w:rsid w:val="003B386F"/>
    <w:rsid w:val="003C4B81"/>
    <w:rsid w:val="003C560B"/>
    <w:rsid w:val="003C5AE7"/>
    <w:rsid w:val="003D6AB6"/>
    <w:rsid w:val="003E1E80"/>
    <w:rsid w:val="003F09ED"/>
    <w:rsid w:val="00417648"/>
    <w:rsid w:val="0042141C"/>
    <w:rsid w:val="00433DA7"/>
    <w:rsid w:val="0043571F"/>
    <w:rsid w:val="00440473"/>
    <w:rsid w:val="00442DC9"/>
    <w:rsid w:val="00452198"/>
    <w:rsid w:val="00464797"/>
    <w:rsid w:val="004A5586"/>
    <w:rsid w:val="004A616C"/>
    <w:rsid w:val="004A6344"/>
    <w:rsid w:val="004A691E"/>
    <w:rsid w:val="004C3350"/>
    <w:rsid w:val="004D14BD"/>
    <w:rsid w:val="004D43CF"/>
    <w:rsid w:val="004D5433"/>
    <w:rsid w:val="004E7FED"/>
    <w:rsid w:val="005009B4"/>
    <w:rsid w:val="00500D42"/>
    <w:rsid w:val="00503346"/>
    <w:rsid w:val="0050449D"/>
    <w:rsid w:val="00510479"/>
    <w:rsid w:val="005108B8"/>
    <w:rsid w:val="00511376"/>
    <w:rsid w:val="00523BE0"/>
    <w:rsid w:val="00527E14"/>
    <w:rsid w:val="00541278"/>
    <w:rsid w:val="005755EC"/>
    <w:rsid w:val="00584789"/>
    <w:rsid w:val="005848DC"/>
    <w:rsid w:val="005A2252"/>
    <w:rsid w:val="005A3E32"/>
    <w:rsid w:val="005C1C63"/>
    <w:rsid w:val="005D40B9"/>
    <w:rsid w:val="005D4D92"/>
    <w:rsid w:val="005E571E"/>
    <w:rsid w:val="005F60D0"/>
    <w:rsid w:val="00606F64"/>
    <w:rsid w:val="00611DEA"/>
    <w:rsid w:val="00613CDE"/>
    <w:rsid w:val="00625738"/>
    <w:rsid w:val="00640E38"/>
    <w:rsid w:val="00641EC7"/>
    <w:rsid w:val="006461A6"/>
    <w:rsid w:val="006522E1"/>
    <w:rsid w:val="006534DD"/>
    <w:rsid w:val="006627AC"/>
    <w:rsid w:val="00675056"/>
    <w:rsid w:val="00681E57"/>
    <w:rsid w:val="006A4F3E"/>
    <w:rsid w:val="006A5FE3"/>
    <w:rsid w:val="006A7773"/>
    <w:rsid w:val="006B53D2"/>
    <w:rsid w:val="006B587C"/>
    <w:rsid w:val="006D1556"/>
    <w:rsid w:val="006D4F5A"/>
    <w:rsid w:val="006E0CC7"/>
    <w:rsid w:val="006F53BA"/>
    <w:rsid w:val="006F5798"/>
    <w:rsid w:val="00700F42"/>
    <w:rsid w:val="007039D3"/>
    <w:rsid w:val="00717035"/>
    <w:rsid w:val="0072026A"/>
    <w:rsid w:val="007273B4"/>
    <w:rsid w:val="00736C48"/>
    <w:rsid w:val="007371B4"/>
    <w:rsid w:val="007374DE"/>
    <w:rsid w:val="00741CB5"/>
    <w:rsid w:val="007468A0"/>
    <w:rsid w:val="0074729A"/>
    <w:rsid w:val="00750D55"/>
    <w:rsid w:val="007577A6"/>
    <w:rsid w:val="007609A1"/>
    <w:rsid w:val="00770CAD"/>
    <w:rsid w:val="007715D6"/>
    <w:rsid w:val="00772B34"/>
    <w:rsid w:val="00793657"/>
    <w:rsid w:val="00793A10"/>
    <w:rsid w:val="00794E2D"/>
    <w:rsid w:val="007A2086"/>
    <w:rsid w:val="007A76F6"/>
    <w:rsid w:val="007B21FA"/>
    <w:rsid w:val="007B5246"/>
    <w:rsid w:val="007B76FB"/>
    <w:rsid w:val="007D344C"/>
    <w:rsid w:val="007E02D1"/>
    <w:rsid w:val="007E219C"/>
    <w:rsid w:val="007F2CC8"/>
    <w:rsid w:val="00802900"/>
    <w:rsid w:val="00803C8B"/>
    <w:rsid w:val="00814FA2"/>
    <w:rsid w:val="00831ED9"/>
    <w:rsid w:val="008471A2"/>
    <w:rsid w:val="00847389"/>
    <w:rsid w:val="0087364D"/>
    <w:rsid w:val="008832B6"/>
    <w:rsid w:val="008A1D8D"/>
    <w:rsid w:val="008D03A1"/>
    <w:rsid w:val="008D10DC"/>
    <w:rsid w:val="008D7E99"/>
    <w:rsid w:val="00904241"/>
    <w:rsid w:val="0090734D"/>
    <w:rsid w:val="009146E5"/>
    <w:rsid w:val="00922F0F"/>
    <w:rsid w:val="00946C1D"/>
    <w:rsid w:val="0095628B"/>
    <w:rsid w:val="009644B1"/>
    <w:rsid w:val="009869FC"/>
    <w:rsid w:val="009A2EF9"/>
    <w:rsid w:val="009B0CD6"/>
    <w:rsid w:val="009B1491"/>
    <w:rsid w:val="009D20AF"/>
    <w:rsid w:val="009D4DE4"/>
    <w:rsid w:val="009F2E76"/>
    <w:rsid w:val="00A23589"/>
    <w:rsid w:val="00A247A5"/>
    <w:rsid w:val="00A2749D"/>
    <w:rsid w:val="00A34BBF"/>
    <w:rsid w:val="00A36020"/>
    <w:rsid w:val="00A4724B"/>
    <w:rsid w:val="00A50968"/>
    <w:rsid w:val="00A62FE0"/>
    <w:rsid w:val="00A73E7A"/>
    <w:rsid w:val="00A82A12"/>
    <w:rsid w:val="00A83681"/>
    <w:rsid w:val="00A93DE7"/>
    <w:rsid w:val="00AA3116"/>
    <w:rsid w:val="00AA47CE"/>
    <w:rsid w:val="00AA5BE7"/>
    <w:rsid w:val="00AB28DE"/>
    <w:rsid w:val="00AD681E"/>
    <w:rsid w:val="00AD6DD9"/>
    <w:rsid w:val="00AD74D1"/>
    <w:rsid w:val="00AD7C87"/>
    <w:rsid w:val="00AE7ED2"/>
    <w:rsid w:val="00AF2EA9"/>
    <w:rsid w:val="00B10328"/>
    <w:rsid w:val="00B301B4"/>
    <w:rsid w:val="00B42480"/>
    <w:rsid w:val="00B55737"/>
    <w:rsid w:val="00B81746"/>
    <w:rsid w:val="00B943EA"/>
    <w:rsid w:val="00BA75EA"/>
    <w:rsid w:val="00BB0CFE"/>
    <w:rsid w:val="00BB78A2"/>
    <w:rsid w:val="00BD080D"/>
    <w:rsid w:val="00BD309E"/>
    <w:rsid w:val="00BD589F"/>
    <w:rsid w:val="00C038D3"/>
    <w:rsid w:val="00C1224A"/>
    <w:rsid w:val="00C12DC1"/>
    <w:rsid w:val="00C440FE"/>
    <w:rsid w:val="00C516E2"/>
    <w:rsid w:val="00C53988"/>
    <w:rsid w:val="00C67469"/>
    <w:rsid w:val="00C67C30"/>
    <w:rsid w:val="00C704D5"/>
    <w:rsid w:val="00C70EB6"/>
    <w:rsid w:val="00C74B83"/>
    <w:rsid w:val="00C773EF"/>
    <w:rsid w:val="00C80405"/>
    <w:rsid w:val="00C95AB9"/>
    <w:rsid w:val="00C978D8"/>
    <w:rsid w:val="00CB5E09"/>
    <w:rsid w:val="00CD5547"/>
    <w:rsid w:val="00CE1CC9"/>
    <w:rsid w:val="00D022CE"/>
    <w:rsid w:val="00D124C2"/>
    <w:rsid w:val="00D436B4"/>
    <w:rsid w:val="00D518ED"/>
    <w:rsid w:val="00D53081"/>
    <w:rsid w:val="00D545E8"/>
    <w:rsid w:val="00D66BE8"/>
    <w:rsid w:val="00D67842"/>
    <w:rsid w:val="00D872E3"/>
    <w:rsid w:val="00DA2DBA"/>
    <w:rsid w:val="00DA3C26"/>
    <w:rsid w:val="00DC0D57"/>
    <w:rsid w:val="00DD075E"/>
    <w:rsid w:val="00DE47CE"/>
    <w:rsid w:val="00DE5760"/>
    <w:rsid w:val="00DF0920"/>
    <w:rsid w:val="00DF548D"/>
    <w:rsid w:val="00DF6AC3"/>
    <w:rsid w:val="00E0331D"/>
    <w:rsid w:val="00E0561C"/>
    <w:rsid w:val="00E06124"/>
    <w:rsid w:val="00E37638"/>
    <w:rsid w:val="00E47799"/>
    <w:rsid w:val="00E533CB"/>
    <w:rsid w:val="00E663EA"/>
    <w:rsid w:val="00E72C54"/>
    <w:rsid w:val="00E80FED"/>
    <w:rsid w:val="00EA1CAF"/>
    <w:rsid w:val="00EA38EB"/>
    <w:rsid w:val="00EB475D"/>
    <w:rsid w:val="00EC3C0E"/>
    <w:rsid w:val="00ED713B"/>
    <w:rsid w:val="00EE1A49"/>
    <w:rsid w:val="00EF3FBF"/>
    <w:rsid w:val="00EF468F"/>
    <w:rsid w:val="00F21541"/>
    <w:rsid w:val="00F30275"/>
    <w:rsid w:val="00F4634A"/>
    <w:rsid w:val="00F60588"/>
    <w:rsid w:val="00F70F3C"/>
    <w:rsid w:val="00F929AD"/>
    <w:rsid w:val="00FA0CE5"/>
    <w:rsid w:val="00FB7324"/>
    <w:rsid w:val="00FC1379"/>
    <w:rsid w:val="00FE0FBF"/>
    <w:rsid w:val="00FE2354"/>
    <w:rsid w:val="00FE3EA2"/>
    <w:rsid w:val="00FE6A79"/>
    <w:rsid w:val="00FF26C1"/>
    <w:rsid w:val="00FF6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9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E37638"/>
    <w:pPr>
      <w:keepNext/>
      <w:keepLines/>
      <w:numPr>
        <w:numId w:val="2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2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2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2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6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392CE8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2CE8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E37638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rFonts w:eastAsiaTheme="majorEastAsia" w:cstheme="majorBidi"/>
      <w:color w:val="FF0000"/>
      <w:spacing w:val="5"/>
      <w:sz w:val="2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37638"/>
    <w:rPr>
      <w:rFonts w:ascii="Times New Roman" w:eastAsiaTheme="majorEastAsia" w:hAnsi="Times New Roman" w:cstheme="majorBidi"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b/>
      <w:bCs/>
      <w:i/>
      <w:iCs/>
      <w:color w:val="4472C4" w:themeColor="accent1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357514"/>
    <w:pPr>
      <w:ind w:left="200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357514"/>
    <w:pPr>
      <w:spacing w:before="120" w:after="120"/>
      <w:ind w:left="0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E1CC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E1CC9"/>
    <w:rPr>
      <w:rFonts w:ascii="Segoe UI" w:hAnsi="Segoe UI" w:cs="Segoe UI"/>
      <w:sz w:val="18"/>
      <w:szCs w:val="18"/>
    </w:rPr>
  </w:style>
  <w:style w:type="table" w:styleId="Grilledutableau">
    <w:name w:val="Table Grid"/>
    <w:basedOn w:val="TableauNormal"/>
    <w:uiPriority w:val="39"/>
    <w:rsid w:val="009F2E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2141C"/>
    <w:pPr>
      <w:numPr>
        <w:numId w:val="0"/>
      </w:numPr>
      <w:spacing w:line="300" w:lineRule="auto"/>
      <w:ind w:left="720"/>
      <w:contextualSpacing/>
      <w:jc w:val="both"/>
    </w:pPr>
    <w:rPr>
      <w:rFonts w:ascii="Leelawadee" w:eastAsiaTheme="minorHAnsi" w:hAnsi="Leelawadee"/>
      <w:sz w:val="19"/>
    </w:rPr>
  </w:style>
  <w:style w:type="paragraph" w:customStyle="1" w:styleId="Notedemarge">
    <w:name w:val="Note de marge"/>
    <w:basedOn w:val="Normal"/>
    <w:qFormat/>
    <w:rsid w:val="0042141C"/>
    <w:pPr>
      <w:framePr w:w="2075" w:hSpace="142" w:wrap="around" w:vAnchor="text" w:hAnchor="page" w:x="549" w:y="1"/>
      <w:numPr>
        <w:numId w:val="0"/>
      </w:numPr>
      <w:shd w:val="clear" w:color="auto" w:fill="F2F2F2" w:themeFill="background1" w:themeFillShade="F2"/>
      <w:spacing w:line="240" w:lineRule="auto"/>
    </w:pPr>
    <w:rPr>
      <w:rFonts w:ascii="Arial" w:eastAsiaTheme="minorHAnsi" w:hAnsi="Arial"/>
      <w:color w:val="000000"/>
      <w:sz w:val="18"/>
      <w14:textFill>
        <w14:solidFill>
          <w14:srgbClr w14:val="000000">
            <w14:lumMod w14:val="50000"/>
          </w14:srgbClr>
        </w14:solidFill>
      </w14:textFill>
    </w:rPr>
  </w:style>
  <w:style w:type="table" w:styleId="Grilledetableauclaire">
    <w:name w:val="Grid Table Light"/>
    <w:basedOn w:val="TableauNormal"/>
    <w:uiPriority w:val="40"/>
    <w:rsid w:val="0042141C"/>
    <w:pPr>
      <w:spacing w:after="0" w:line="240" w:lineRule="auto"/>
      <w:ind w:left="284" w:firstLine="284"/>
      <w:jc w:val="both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D0122-7A4A-491A-9E4E-737BE81E8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3260</TotalTime>
  <Pages>4</Pages>
  <Words>608</Words>
  <Characters>3471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178</cp:revision>
  <cp:lastPrinted>2025-04-23T15:23:00Z</cp:lastPrinted>
  <dcterms:created xsi:type="dcterms:W3CDTF">2024-06-07T16:26:00Z</dcterms:created>
  <dcterms:modified xsi:type="dcterms:W3CDTF">2025-09-30T06:39:00Z</dcterms:modified>
</cp:coreProperties>
</file>