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A18C7" w14:textId="540B6D5A" w:rsidR="004C6CED" w:rsidRDefault="00B7673E" w:rsidP="00560DF0">
      <w:pPr>
        <w:pStyle w:val="Titre"/>
      </w:pPr>
      <w:r>
        <w:t xml:space="preserve">fracture du tibia proximal </w:t>
      </w:r>
    </w:p>
    <w:p w14:paraId="1D273E17" w14:textId="068F5822" w:rsidR="00B7673E" w:rsidRDefault="0082179B" w:rsidP="0082179B">
      <w:pPr>
        <w:pStyle w:val="Titre2"/>
      </w:pPr>
      <w:r>
        <w:t>Epidémiologie</w:t>
      </w:r>
    </w:p>
    <w:p w14:paraId="4F0B0AF5" w14:textId="51F09E66" w:rsidR="0082179B" w:rsidRDefault="0082179B" w:rsidP="0082179B">
      <w:r>
        <w:t>Rare</w:t>
      </w:r>
    </w:p>
    <w:p w14:paraId="4A95EACF" w14:textId="08DD1894" w:rsidR="0082179B" w:rsidRDefault="0082179B" w:rsidP="0082179B">
      <w:r>
        <w:t>Grand enfant – les décollements</w:t>
      </w:r>
    </w:p>
    <w:p w14:paraId="3B49F5C5" w14:textId="69666ADF" w:rsidR="0082179B" w:rsidRDefault="0082179B" w:rsidP="0082179B">
      <w:r>
        <w:t xml:space="preserve">Petit enfant </w:t>
      </w:r>
      <w:r w:rsidR="009F6960">
        <w:t>–</w:t>
      </w:r>
      <w:r>
        <w:t xml:space="preserve"> métaphysaire</w:t>
      </w:r>
    </w:p>
    <w:p w14:paraId="134C8D81" w14:textId="58CF16E7" w:rsidR="0082179B" w:rsidRDefault="009F6960" w:rsidP="009F6960">
      <w:pPr>
        <w:pStyle w:val="Titre2"/>
      </w:pPr>
      <w:r>
        <w:t xml:space="preserve">Etiologie </w:t>
      </w:r>
    </w:p>
    <w:p w14:paraId="128E9B1F" w14:textId="5CF128C7" w:rsidR="009F6960" w:rsidRDefault="009F6960" w:rsidP="009F6960">
      <w:r>
        <w:t>Accident sportif</w:t>
      </w:r>
    </w:p>
    <w:p w14:paraId="2F087F57" w14:textId="03F0525F" w:rsidR="009F6960" w:rsidRDefault="009F6960" w:rsidP="009F6960">
      <w:r>
        <w:t xml:space="preserve">Accident de circulation </w:t>
      </w:r>
    </w:p>
    <w:p w14:paraId="24CCDACD" w14:textId="7CEAB556" w:rsidR="009F6960" w:rsidRDefault="007E7377" w:rsidP="007E7377">
      <w:pPr>
        <w:pStyle w:val="Titre2"/>
      </w:pPr>
      <w:r>
        <w:t>Mécanisme</w:t>
      </w:r>
    </w:p>
    <w:p w14:paraId="6F7907E0" w14:textId="6F0CA810" w:rsidR="007E7377" w:rsidRDefault="007E7377" w:rsidP="007E7377">
      <w:r>
        <w:t xml:space="preserve">Traction sur les ligaments latéraux </w:t>
      </w:r>
    </w:p>
    <w:p w14:paraId="19D2A06D" w14:textId="7F48F264" w:rsidR="007E7377" w:rsidRDefault="00272FD1" w:rsidP="00272FD1">
      <w:pPr>
        <w:pStyle w:val="Titre2"/>
      </w:pPr>
      <w:r>
        <w:t xml:space="preserve">Diagnostic </w:t>
      </w:r>
    </w:p>
    <w:p w14:paraId="73BDCB7F" w14:textId="16F850EF" w:rsidR="00272FD1" w:rsidRDefault="00272FD1" w:rsidP="00272FD1">
      <w:pPr>
        <w:pStyle w:val="Titre3"/>
      </w:pPr>
      <w:r>
        <w:t xml:space="preserve">Clinique </w:t>
      </w:r>
    </w:p>
    <w:p w14:paraId="3DEC41E6" w14:textId="01817FF8" w:rsidR="00272FD1" w:rsidRDefault="00272FD1" w:rsidP="00272FD1">
      <w:r>
        <w:t>Douleur et impotence fonctionnelle</w:t>
      </w:r>
    </w:p>
    <w:p w14:paraId="6C0AE365" w14:textId="48E73058" w:rsidR="00272FD1" w:rsidRDefault="00272FD1" w:rsidP="00272FD1">
      <w:r>
        <w:t>Œdème du genou</w:t>
      </w:r>
    </w:p>
    <w:p w14:paraId="0DF9FFB8" w14:textId="341F81C9" w:rsidR="00272FD1" w:rsidRDefault="00272FD1" w:rsidP="00272FD1">
      <w:r>
        <w:t xml:space="preserve">Hémarthrose avec signe de glaçon </w:t>
      </w:r>
    </w:p>
    <w:p w14:paraId="45E70960" w14:textId="6B05FA2B" w:rsidR="00272FD1" w:rsidRDefault="00272FD1" w:rsidP="00272FD1">
      <w:r>
        <w:t xml:space="preserve">Déformation en fonction du degré de déplacement </w:t>
      </w:r>
    </w:p>
    <w:p w14:paraId="4909C10F" w14:textId="59AA1FCC" w:rsidR="00272FD1" w:rsidRDefault="00136E8C" w:rsidP="00944E66">
      <w:pPr>
        <w:pStyle w:val="Titre3"/>
      </w:pPr>
      <w:r>
        <w:t>Complications</w:t>
      </w:r>
    </w:p>
    <w:p w14:paraId="04AFFC29" w14:textId="1FDE149A" w:rsidR="00136E8C" w:rsidRDefault="00136E8C" w:rsidP="00944E66">
      <w:pPr>
        <w:pStyle w:val="Titre4"/>
      </w:pPr>
      <w:r>
        <w:t xml:space="preserve">Immédiates </w:t>
      </w:r>
    </w:p>
    <w:p w14:paraId="2F462332" w14:textId="0E1159B4" w:rsidR="00136E8C" w:rsidRDefault="00136E8C" w:rsidP="00136E8C">
      <w:r>
        <w:t xml:space="preserve">Lésions associées </w:t>
      </w:r>
    </w:p>
    <w:p w14:paraId="1BA1C846" w14:textId="148B7C54" w:rsidR="00136E8C" w:rsidRDefault="00136E8C" w:rsidP="00136E8C">
      <w:pPr>
        <w:numPr>
          <w:ilvl w:val="1"/>
          <w:numId w:val="1"/>
        </w:numPr>
      </w:pPr>
      <w:r>
        <w:t>Artère poplitée postérieure</w:t>
      </w:r>
    </w:p>
    <w:p w14:paraId="586D7339" w14:textId="4002A454" w:rsidR="00136E8C" w:rsidRDefault="00136E8C" w:rsidP="00136E8C">
      <w:pPr>
        <w:numPr>
          <w:ilvl w:val="1"/>
          <w:numId w:val="1"/>
        </w:numPr>
      </w:pPr>
      <w:r>
        <w:t>Artère tibiale</w:t>
      </w:r>
    </w:p>
    <w:p w14:paraId="4AC5CCBD" w14:textId="66BC113C" w:rsidR="00136E8C" w:rsidRDefault="00136E8C" w:rsidP="00136E8C">
      <w:r>
        <w:t>Syndrome de loge</w:t>
      </w:r>
    </w:p>
    <w:p w14:paraId="668A1574" w14:textId="026F804F" w:rsidR="00136E8C" w:rsidRDefault="00136E8C" w:rsidP="00136E8C">
      <w:r>
        <w:t>Lésions nerveuses</w:t>
      </w:r>
    </w:p>
    <w:p w14:paraId="528DD1A2" w14:textId="6D2042B0" w:rsidR="00136E8C" w:rsidRDefault="00136E8C" w:rsidP="00136E8C">
      <w:pPr>
        <w:numPr>
          <w:ilvl w:val="1"/>
          <w:numId w:val="1"/>
        </w:numPr>
      </w:pPr>
      <w:r>
        <w:t xml:space="preserve">Nerf tibial et nerf fibulaire commun </w:t>
      </w:r>
    </w:p>
    <w:p w14:paraId="0C3559B2" w14:textId="2315C1DD" w:rsidR="00136E8C" w:rsidRDefault="00A67373" w:rsidP="00136E8C">
      <w:proofErr w:type="gramStart"/>
      <w:r>
        <w:t>Ouvertures cutanée</w:t>
      </w:r>
      <w:proofErr w:type="gramEnd"/>
    </w:p>
    <w:p w14:paraId="66D5ED6D" w14:textId="7DD48B24" w:rsidR="00A67373" w:rsidRDefault="00A67373" w:rsidP="00A67373">
      <w:pPr>
        <w:numPr>
          <w:ilvl w:val="1"/>
          <w:numId w:val="1"/>
        </w:numPr>
      </w:pPr>
      <w:r>
        <w:t xml:space="preserve">Classification </w:t>
      </w:r>
    </w:p>
    <w:p w14:paraId="16C035DB" w14:textId="3A22E9C9" w:rsidR="00A67373" w:rsidRDefault="00A67373" w:rsidP="00A67373">
      <w:pPr>
        <w:pStyle w:val="Titre4"/>
      </w:pPr>
      <w:r>
        <w:lastRenderedPageBreak/>
        <w:t>Séquelles</w:t>
      </w:r>
    </w:p>
    <w:p w14:paraId="5B19D6E7" w14:textId="50DC7F1B" w:rsidR="00A67373" w:rsidRDefault="00A67373" w:rsidP="00A67373">
      <w:r>
        <w:t xml:space="preserve">Epiphysiodèse </w:t>
      </w:r>
    </w:p>
    <w:p w14:paraId="7DCCF012" w14:textId="76DFAE58" w:rsidR="00A67373" w:rsidRDefault="00000A49" w:rsidP="00000A49">
      <w:pPr>
        <w:numPr>
          <w:ilvl w:val="1"/>
          <w:numId w:val="1"/>
        </w:numPr>
      </w:pPr>
      <w:r>
        <w:t xml:space="preserve">Déviation axiale – tibia vara – tibia valga – recurvatum </w:t>
      </w:r>
    </w:p>
    <w:p w14:paraId="21638C57" w14:textId="1B00DA96" w:rsidR="00000A49" w:rsidRDefault="00000A49" w:rsidP="00000A49">
      <w:pPr>
        <w:numPr>
          <w:ilvl w:val="1"/>
          <w:numId w:val="1"/>
        </w:numPr>
      </w:pPr>
      <w:r>
        <w:t>ILMI</w:t>
      </w:r>
    </w:p>
    <w:p w14:paraId="2E3B311D" w14:textId="23F1E322" w:rsidR="00000A49" w:rsidRDefault="00000A49" w:rsidP="00000A49">
      <w:r>
        <w:t>Raideur articulaire</w:t>
      </w:r>
    </w:p>
    <w:p w14:paraId="431324FA" w14:textId="10E84B7A" w:rsidR="00000A49" w:rsidRDefault="00000A49" w:rsidP="00000A49">
      <w:proofErr w:type="gramStart"/>
      <w:r>
        <w:t>Cals vicieux</w:t>
      </w:r>
      <w:proofErr w:type="gramEnd"/>
    </w:p>
    <w:p w14:paraId="4BF178F1" w14:textId="3DD9823F" w:rsidR="00000A49" w:rsidRDefault="00000A49" w:rsidP="00000A49">
      <w:r>
        <w:t>Gonarthrose</w:t>
      </w:r>
    </w:p>
    <w:p w14:paraId="1605EF29" w14:textId="467A35A1" w:rsidR="00000A49" w:rsidRDefault="00000A49" w:rsidP="00000A49">
      <w:r>
        <w:t xml:space="preserve">Séquelle e lésion nerveuse et cutanée </w:t>
      </w:r>
    </w:p>
    <w:p w14:paraId="004D1630" w14:textId="6153F074" w:rsidR="00420E68" w:rsidRDefault="00420E68" w:rsidP="00000A49">
      <w:r>
        <w:t>Risque de valgisation importante en cas de fracture métaphysaire</w:t>
      </w:r>
    </w:p>
    <w:p w14:paraId="65E783C4" w14:textId="59CD23EE" w:rsidR="00420E68" w:rsidRDefault="00420E68" w:rsidP="00000A49">
      <w:r>
        <w:t xml:space="preserve">Aggravation pendant la phase de consolidation </w:t>
      </w:r>
    </w:p>
    <w:p w14:paraId="19A33A25" w14:textId="6D551277" w:rsidR="00420E68" w:rsidRDefault="00420E68" w:rsidP="00000A49">
      <w:r>
        <w:t xml:space="preserve">Résolution spontanée au fur e </w:t>
      </w:r>
      <w:proofErr w:type="spellStart"/>
      <w:r>
        <w:t>tà</w:t>
      </w:r>
      <w:proofErr w:type="spellEnd"/>
      <w:r>
        <w:t xml:space="preserve"> mesures de la croissance</w:t>
      </w:r>
    </w:p>
    <w:p w14:paraId="1D7CB1A4" w14:textId="72E54CBF" w:rsidR="00420E68" w:rsidRDefault="00420E68" w:rsidP="00000A49">
      <w:r>
        <w:sym w:font="Wingdings" w:char="F0E8"/>
      </w:r>
      <w:r>
        <w:t xml:space="preserve"> </w:t>
      </w:r>
      <w:proofErr w:type="gramStart"/>
      <w:r>
        <w:t>nécessite</w:t>
      </w:r>
      <w:proofErr w:type="gramEnd"/>
      <w:r>
        <w:t xml:space="preserve"> un PCP en extension </w:t>
      </w:r>
    </w:p>
    <w:p w14:paraId="00F03FDE" w14:textId="0691D640" w:rsidR="00931D9F" w:rsidRDefault="0078379E" w:rsidP="0078379E">
      <w:pPr>
        <w:pStyle w:val="Titre3"/>
      </w:pPr>
      <w:r>
        <w:t>Radiologique</w:t>
      </w:r>
    </w:p>
    <w:p w14:paraId="45EB019E" w14:textId="2200783F" w:rsidR="0078379E" w:rsidRDefault="0078379E" w:rsidP="0078379E">
      <w:r>
        <w:t xml:space="preserve">Radiographie de face et de profil </w:t>
      </w:r>
    </w:p>
    <w:p w14:paraId="52D51B05" w14:textId="2A1C475C" w:rsidR="0078379E" w:rsidRDefault="0078379E" w:rsidP="0078379E">
      <w:r>
        <w:t>Radiographie ¾</w:t>
      </w:r>
    </w:p>
    <w:p w14:paraId="713F318E" w14:textId="689CA0E7" w:rsidR="0078379E" w:rsidRDefault="0078379E" w:rsidP="0078379E">
      <w:r>
        <w:t>IRM en cas de lésion ligamentaire (50%)</w:t>
      </w:r>
    </w:p>
    <w:p w14:paraId="2E90039A" w14:textId="6DAECB2D" w:rsidR="0078379E" w:rsidRDefault="0078379E" w:rsidP="0078379E">
      <w:pPr>
        <w:pStyle w:val="Titre3"/>
      </w:pPr>
      <w:r>
        <w:t xml:space="preserve">Type de lésion </w:t>
      </w:r>
    </w:p>
    <w:p w14:paraId="7F1FB612" w14:textId="6BF4D531" w:rsidR="0078379E" w:rsidRDefault="00A37C80" w:rsidP="0078379E">
      <w:r>
        <w:t>Salter et Harris I – II – III – IV</w:t>
      </w:r>
    </w:p>
    <w:p w14:paraId="49332A43" w14:textId="2A873015" w:rsidR="00A37C80" w:rsidRDefault="00A37C80" w:rsidP="0078379E">
      <w:r>
        <w:t xml:space="preserve">Métaphysaire parfois en bois vert </w:t>
      </w:r>
    </w:p>
    <w:p w14:paraId="516D35FB" w14:textId="21F4A9F7" w:rsidR="00CE3F1F" w:rsidRDefault="006E5529" w:rsidP="006E5529">
      <w:pPr>
        <w:pStyle w:val="Titre2"/>
      </w:pPr>
      <w:r>
        <w:t xml:space="preserve">Traitement </w:t>
      </w:r>
    </w:p>
    <w:p w14:paraId="3F2603AD" w14:textId="3FAA0FEA" w:rsidR="006E5529" w:rsidRDefault="006E5529" w:rsidP="006E5529">
      <w:pPr>
        <w:pStyle w:val="Titre3"/>
      </w:pPr>
      <w:r>
        <w:t xml:space="preserve">Moyen </w:t>
      </w:r>
    </w:p>
    <w:p w14:paraId="54E6E89D" w14:textId="543A5E44" w:rsidR="006E5529" w:rsidRDefault="006E5529" w:rsidP="00664A7E">
      <w:pPr>
        <w:pStyle w:val="Titre4"/>
      </w:pPr>
      <w:r>
        <w:t>Médicamenteux</w:t>
      </w:r>
    </w:p>
    <w:p w14:paraId="1DB04B46" w14:textId="31EB3392" w:rsidR="006E5529" w:rsidRDefault="006E5529" w:rsidP="006E5529">
      <w:pPr>
        <w:numPr>
          <w:ilvl w:val="1"/>
          <w:numId w:val="1"/>
        </w:numPr>
      </w:pPr>
      <w:r>
        <w:t>Antalgique niveau II</w:t>
      </w:r>
    </w:p>
    <w:p w14:paraId="003EB77C" w14:textId="576A0BBF" w:rsidR="006E5529" w:rsidRDefault="006E5529" w:rsidP="006E5529">
      <w:pPr>
        <w:numPr>
          <w:ilvl w:val="1"/>
          <w:numId w:val="1"/>
        </w:numPr>
      </w:pPr>
      <w:r>
        <w:t>Antibiotique et antitétanique</w:t>
      </w:r>
    </w:p>
    <w:p w14:paraId="450D7D42" w14:textId="7D3B6369" w:rsidR="006E5529" w:rsidRDefault="006E5529" w:rsidP="006E5529">
      <w:pPr>
        <w:numPr>
          <w:ilvl w:val="1"/>
          <w:numId w:val="1"/>
        </w:numPr>
      </w:pPr>
      <w:r>
        <w:t xml:space="preserve">Anticoagulant </w:t>
      </w:r>
    </w:p>
    <w:p w14:paraId="4146EDC9" w14:textId="15F3CDB2" w:rsidR="006E5529" w:rsidRDefault="00852F46" w:rsidP="00664A7E">
      <w:pPr>
        <w:pStyle w:val="Titre4"/>
      </w:pPr>
      <w:r>
        <w:t>Orthopédique</w:t>
      </w:r>
    </w:p>
    <w:p w14:paraId="33CD6C0F" w14:textId="766120CD" w:rsidR="00852F46" w:rsidRDefault="00852F46" w:rsidP="00852F46">
      <w:pPr>
        <w:numPr>
          <w:ilvl w:val="1"/>
          <w:numId w:val="1"/>
        </w:numPr>
      </w:pPr>
      <w:r>
        <w:t>Réduction sous AG</w:t>
      </w:r>
    </w:p>
    <w:p w14:paraId="7A66829E" w14:textId="676DA1EE" w:rsidR="00852F46" w:rsidRDefault="00852F46" w:rsidP="00852F46">
      <w:pPr>
        <w:numPr>
          <w:ilvl w:val="1"/>
          <w:numId w:val="1"/>
        </w:numPr>
      </w:pPr>
      <w:r>
        <w:t xml:space="preserve">Immobilisation par PCP </w:t>
      </w:r>
    </w:p>
    <w:p w14:paraId="77EC82D8" w14:textId="1CEE8760" w:rsidR="00852F46" w:rsidRDefault="00852F46" w:rsidP="00664A7E">
      <w:pPr>
        <w:pStyle w:val="Titre4"/>
      </w:pPr>
      <w:r>
        <w:lastRenderedPageBreak/>
        <w:t>Chirurgicaux</w:t>
      </w:r>
    </w:p>
    <w:p w14:paraId="1CA79076" w14:textId="0664A888" w:rsidR="00852F46" w:rsidRDefault="00852F46" w:rsidP="00852F46">
      <w:pPr>
        <w:numPr>
          <w:ilvl w:val="1"/>
          <w:numId w:val="1"/>
        </w:numPr>
      </w:pPr>
      <w:r>
        <w:t>Réduction sous AG</w:t>
      </w:r>
    </w:p>
    <w:p w14:paraId="0D23B14D" w14:textId="1D0333C1" w:rsidR="00852F46" w:rsidRDefault="00431684" w:rsidP="00852F46">
      <w:pPr>
        <w:numPr>
          <w:ilvl w:val="1"/>
          <w:numId w:val="1"/>
        </w:numPr>
      </w:pPr>
      <w:r>
        <w:t xml:space="preserve">Stabilisation par broches ou vis par voie percutanée ou ouverte </w:t>
      </w:r>
    </w:p>
    <w:p w14:paraId="5948320B" w14:textId="5CF6B57F" w:rsidR="00431684" w:rsidRDefault="00F01A76" w:rsidP="00664A7E">
      <w:pPr>
        <w:pStyle w:val="Titre4"/>
      </w:pPr>
      <w:r>
        <w:t xml:space="preserve">Kinésithérapie </w:t>
      </w:r>
    </w:p>
    <w:p w14:paraId="5E5F7888" w14:textId="66CE53DD" w:rsidR="00F01A76" w:rsidRDefault="0077746F" w:rsidP="0077746F">
      <w:pPr>
        <w:pStyle w:val="Titre3"/>
      </w:pPr>
      <w:r>
        <w:t xml:space="preserve">Indication </w:t>
      </w:r>
    </w:p>
    <w:p w14:paraId="4622BD10" w14:textId="767837C3" w:rsidR="0077746F" w:rsidRDefault="0077746F" w:rsidP="00664A7E">
      <w:pPr>
        <w:pStyle w:val="Titre4"/>
      </w:pPr>
      <w:r>
        <w:t>Orthopédique</w:t>
      </w:r>
    </w:p>
    <w:p w14:paraId="469C8B6B" w14:textId="484B658E" w:rsidR="0077746F" w:rsidRDefault="0077746F" w:rsidP="0077746F">
      <w:pPr>
        <w:numPr>
          <w:ilvl w:val="1"/>
          <w:numId w:val="1"/>
        </w:numPr>
      </w:pPr>
      <w:r>
        <w:t xml:space="preserve">Stade I </w:t>
      </w:r>
    </w:p>
    <w:p w14:paraId="4EF2F3DB" w14:textId="6D0425BA" w:rsidR="0077746F" w:rsidRDefault="0077746F" w:rsidP="0077746F">
      <w:pPr>
        <w:numPr>
          <w:ilvl w:val="1"/>
          <w:numId w:val="1"/>
        </w:numPr>
      </w:pPr>
      <w:r>
        <w:t xml:space="preserve">Salter II stable après réduction </w:t>
      </w:r>
    </w:p>
    <w:p w14:paraId="27BC7AC7" w14:textId="33B9F67F" w:rsidR="0077746F" w:rsidRDefault="0077746F" w:rsidP="0077746F">
      <w:pPr>
        <w:numPr>
          <w:ilvl w:val="1"/>
          <w:numId w:val="1"/>
        </w:numPr>
      </w:pPr>
      <w:r>
        <w:t xml:space="preserve">Fracture </w:t>
      </w:r>
      <w:r w:rsidR="00885242">
        <w:t>métaphysaire</w:t>
      </w:r>
    </w:p>
    <w:p w14:paraId="1F0A36D2" w14:textId="782B04EA" w:rsidR="00885242" w:rsidRDefault="00885242" w:rsidP="00664A7E">
      <w:pPr>
        <w:pStyle w:val="Titre4"/>
      </w:pPr>
      <w:r>
        <w:t xml:space="preserve">Chirurgicale </w:t>
      </w:r>
    </w:p>
    <w:p w14:paraId="323EE33B" w14:textId="125E7FA8" w:rsidR="00885242" w:rsidRDefault="00885242" w:rsidP="00885242">
      <w:pPr>
        <w:numPr>
          <w:ilvl w:val="1"/>
          <w:numId w:val="1"/>
        </w:numPr>
      </w:pPr>
      <w:r>
        <w:t>Salter II non réductible</w:t>
      </w:r>
    </w:p>
    <w:p w14:paraId="095F1529" w14:textId="008DA6D5" w:rsidR="00885242" w:rsidRDefault="00885242" w:rsidP="00885242">
      <w:pPr>
        <w:numPr>
          <w:ilvl w:val="1"/>
          <w:numId w:val="1"/>
        </w:numPr>
      </w:pPr>
      <w:r>
        <w:t>Salter II réductible mais instable – broches ou vis percutanée</w:t>
      </w:r>
    </w:p>
    <w:p w14:paraId="0F9C1783" w14:textId="071B1882" w:rsidR="00885242" w:rsidRDefault="00885242" w:rsidP="00885242">
      <w:pPr>
        <w:numPr>
          <w:ilvl w:val="1"/>
          <w:numId w:val="1"/>
        </w:numPr>
      </w:pPr>
      <w:r>
        <w:t xml:space="preserve">Salter III et IV </w:t>
      </w:r>
      <w:r>
        <w:sym w:font="Wingdings" w:char="F0E0"/>
      </w:r>
      <w:r>
        <w:t xml:space="preserve"> broches ou vis par voie ouverte </w:t>
      </w:r>
    </w:p>
    <w:p w14:paraId="7385E2CB" w14:textId="11F0FC49" w:rsidR="00885242" w:rsidRDefault="00DC7989" w:rsidP="00DC7989">
      <w:pPr>
        <w:pStyle w:val="Titre2"/>
      </w:pPr>
      <w:r>
        <w:t xml:space="preserve">Evolution </w:t>
      </w:r>
    </w:p>
    <w:p w14:paraId="77D8AB58" w14:textId="6BBB610B" w:rsidR="00DC7989" w:rsidRDefault="00DC7989" w:rsidP="00DC7989">
      <w:r>
        <w:t>Marche en décharge avec une paire de canne anglaise</w:t>
      </w:r>
    </w:p>
    <w:p w14:paraId="64FB2D66" w14:textId="283139DA" w:rsidR="00DC7989" w:rsidRDefault="00DC7989" w:rsidP="00DC7989">
      <w:r>
        <w:t>Contrôle radiologique à J8 – J15</w:t>
      </w:r>
    </w:p>
    <w:p w14:paraId="2513CADB" w14:textId="10A05EBF" w:rsidR="00DC7989" w:rsidRDefault="00DC7989" w:rsidP="00DC7989">
      <w:r>
        <w:t xml:space="preserve">Immobilisation 6 semaines </w:t>
      </w:r>
    </w:p>
    <w:p w14:paraId="2F8D14E4" w14:textId="1B6E9EBB" w:rsidR="00DC7989" w:rsidRDefault="008E404D" w:rsidP="00DC7989">
      <w:r>
        <w:t>Arrêt d’activité sportive 3 mois</w:t>
      </w:r>
    </w:p>
    <w:p w14:paraId="1B426C4B" w14:textId="1164249D" w:rsidR="008E404D" w:rsidRDefault="008E404D" w:rsidP="00DC7989">
      <w:r>
        <w:t>Ablation des matériels d’ostéosynthèse entre 6s – 3m</w:t>
      </w:r>
    </w:p>
    <w:p w14:paraId="4C5B8F44" w14:textId="19932527" w:rsidR="008E404D" w:rsidRDefault="008E404D" w:rsidP="00DC7989">
      <w:r>
        <w:t xml:space="preserve">Surveillance régulière jusqu’à la fin de la croissance </w:t>
      </w:r>
    </w:p>
    <w:p w14:paraId="1575142D" w14:textId="44D0F2A3" w:rsidR="006750D0" w:rsidRDefault="006750D0" w:rsidP="006750D0">
      <w:pPr>
        <w:pStyle w:val="Titre2"/>
      </w:pPr>
      <w:r>
        <w:t xml:space="preserve">Conclusion </w:t>
      </w:r>
    </w:p>
    <w:p w14:paraId="581E004B" w14:textId="021D1A0C" w:rsidR="006750D0" w:rsidRDefault="006750D0" w:rsidP="006750D0">
      <w:r>
        <w:t>Fracture avec risque d’épiphysiodèse et d’arthrose</w:t>
      </w:r>
    </w:p>
    <w:p w14:paraId="22EE9E0E" w14:textId="6EF1C16A" w:rsidR="006750D0" w:rsidRPr="006750D0" w:rsidRDefault="006750D0" w:rsidP="006750D0">
      <w:r>
        <w:t xml:space="preserve">Nécessite une réduction ad anatomique et une stabilisation correcte </w:t>
      </w:r>
    </w:p>
    <w:sectPr w:rsidR="006750D0" w:rsidRPr="006750D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FDC86" w14:textId="77777777" w:rsidR="004701FF" w:rsidRDefault="004701FF">
      <w:pPr>
        <w:spacing w:after="0" w:line="240" w:lineRule="auto"/>
      </w:pPr>
      <w:r>
        <w:separator/>
      </w:r>
    </w:p>
  </w:endnote>
  <w:endnote w:type="continuationSeparator" w:id="0">
    <w:p w14:paraId="169F1116" w14:textId="77777777" w:rsidR="004701FF" w:rsidRDefault="00470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5C8B6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9F2788" wp14:editId="1DBC6E31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DC02D9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9F2788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0DC02D9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4383F" w14:textId="77777777" w:rsidR="004701FF" w:rsidRDefault="004701FF">
      <w:pPr>
        <w:spacing w:after="0" w:line="240" w:lineRule="auto"/>
      </w:pPr>
      <w:r>
        <w:separator/>
      </w:r>
    </w:p>
  </w:footnote>
  <w:footnote w:type="continuationSeparator" w:id="0">
    <w:p w14:paraId="26913249" w14:textId="77777777" w:rsidR="004701FF" w:rsidRDefault="004701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B78D1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B0A56"/>
    <w:multiLevelType w:val="multilevel"/>
    <w:tmpl w:val="FFFFFFFF"/>
    <w:numStyleLink w:val="ListeNyA"/>
  </w:abstractNum>
  <w:abstractNum w:abstractNumId="8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6"/>
  </w:num>
  <w:num w:numId="5">
    <w:abstractNumId w:val="2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0A49"/>
    <w:rsid w:val="00002A25"/>
    <w:rsid w:val="000145D0"/>
    <w:rsid w:val="00016407"/>
    <w:rsid w:val="00023FCC"/>
    <w:rsid w:val="00031AB0"/>
    <w:rsid w:val="000B142F"/>
    <w:rsid w:val="000C18E3"/>
    <w:rsid w:val="000C37B3"/>
    <w:rsid w:val="000F03E2"/>
    <w:rsid w:val="00125DCF"/>
    <w:rsid w:val="0013265D"/>
    <w:rsid w:val="00136E8C"/>
    <w:rsid w:val="0016609C"/>
    <w:rsid w:val="00167F3D"/>
    <w:rsid w:val="00175FD6"/>
    <w:rsid w:val="00190AE7"/>
    <w:rsid w:val="00192793"/>
    <w:rsid w:val="001C015C"/>
    <w:rsid w:val="001E15B8"/>
    <w:rsid w:val="001F3B17"/>
    <w:rsid w:val="0020547B"/>
    <w:rsid w:val="00255F4B"/>
    <w:rsid w:val="00270B60"/>
    <w:rsid w:val="00272FD1"/>
    <w:rsid w:val="00290AB2"/>
    <w:rsid w:val="002A35FB"/>
    <w:rsid w:val="002B32AD"/>
    <w:rsid w:val="002D2C7A"/>
    <w:rsid w:val="002D5F9D"/>
    <w:rsid w:val="002D6D14"/>
    <w:rsid w:val="003229A5"/>
    <w:rsid w:val="00345B3D"/>
    <w:rsid w:val="00353156"/>
    <w:rsid w:val="003908F2"/>
    <w:rsid w:val="003A6771"/>
    <w:rsid w:val="003C4440"/>
    <w:rsid w:val="003E7309"/>
    <w:rsid w:val="00412C77"/>
    <w:rsid w:val="00420E68"/>
    <w:rsid w:val="00431684"/>
    <w:rsid w:val="00465782"/>
    <w:rsid w:val="004701FF"/>
    <w:rsid w:val="00491188"/>
    <w:rsid w:val="004A161D"/>
    <w:rsid w:val="004B468D"/>
    <w:rsid w:val="004C6CED"/>
    <w:rsid w:val="004D1501"/>
    <w:rsid w:val="004D69C0"/>
    <w:rsid w:val="004E5B25"/>
    <w:rsid w:val="005160C8"/>
    <w:rsid w:val="00523E61"/>
    <w:rsid w:val="00534712"/>
    <w:rsid w:val="00534B0D"/>
    <w:rsid w:val="00551E69"/>
    <w:rsid w:val="00556B21"/>
    <w:rsid w:val="00560DF0"/>
    <w:rsid w:val="005877C2"/>
    <w:rsid w:val="005A7464"/>
    <w:rsid w:val="005B56BB"/>
    <w:rsid w:val="005D19AA"/>
    <w:rsid w:val="005D5A6B"/>
    <w:rsid w:val="005E02F5"/>
    <w:rsid w:val="005E4456"/>
    <w:rsid w:val="00601BAD"/>
    <w:rsid w:val="00611955"/>
    <w:rsid w:val="006136D9"/>
    <w:rsid w:val="00625BAB"/>
    <w:rsid w:val="00626558"/>
    <w:rsid w:val="006333A8"/>
    <w:rsid w:val="00664A7E"/>
    <w:rsid w:val="00667004"/>
    <w:rsid w:val="006711A1"/>
    <w:rsid w:val="006750D0"/>
    <w:rsid w:val="00687EB1"/>
    <w:rsid w:val="006D51CD"/>
    <w:rsid w:val="006E5529"/>
    <w:rsid w:val="006F6D01"/>
    <w:rsid w:val="0070186B"/>
    <w:rsid w:val="00732439"/>
    <w:rsid w:val="00735417"/>
    <w:rsid w:val="00741E7B"/>
    <w:rsid w:val="00743F31"/>
    <w:rsid w:val="00747F42"/>
    <w:rsid w:val="0077746F"/>
    <w:rsid w:val="0078379E"/>
    <w:rsid w:val="007A4F1E"/>
    <w:rsid w:val="007B17F8"/>
    <w:rsid w:val="007C2AD8"/>
    <w:rsid w:val="007E53A2"/>
    <w:rsid w:val="007E7377"/>
    <w:rsid w:val="007F41E3"/>
    <w:rsid w:val="0082179B"/>
    <w:rsid w:val="008413A1"/>
    <w:rsid w:val="00847F22"/>
    <w:rsid w:val="00852F46"/>
    <w:rsid w:val="00865D30"/>
    <w:rsid w:val="00867CFE"/>
    <w:rsid w:val="00885242"/>
    <w:rsid w:val="00894CD7"/>
    <w:rsid w:val="008E404D"/>
    <w:rsid w:val="009059BC"/>
    <w:rsid w:val="00910F79"/>
    <w:rsid w:val="00931D9F"/>
    <w:rsid w:val="00944E66"/>
    <w:rsid w:val="00952CC7"/>
    <w:rsid w:val="009538A6"/>
    <w:rsid w:val="0095696A"/>
    <w:rsid w:val="00985331"/>
    <w:rsid w:val="00992DE0"/>
    <w:rsid w:val="009C4CFE"/>
    <w:rsid w:val="009F2B28"/>
    <w:rsid w:val="009F6960"/>
    <w:rsid w:val="00A005DB"/>
    <w:rsid w:val="00A07549"/>
    <w:rsid w:val="00A27504"/>
    <w:rsid w:val="00A37C80"/>
    <w:rsid w:val="00A5048E"/>
    <w:rsid w:val="00A67373"/>
    <w:rsid w:val="00A829C1"/>
    <w:rsid w:val="00AB3C1C"/>
    <w:rsid w:val="00AC07A9"/>
    <w:rsid w:val="00AE0BF5"/>
    <w:rsid w:val="00AF2BCB"/>
    <w:rsid w:val="00B15695"/>
    <w:rsid w:val="00B32A9C"/>
    <w:rsid w:val="00B46A82"/>
    <w:rsid w:val="00B4771B"/>
    <w:rsid w:val="00B5288D"/>
    <w:rsid w:val="00B609B1"/>
    <w:rsid w:val="00B70861"/>
    <w:rsid w:val="00B7673E"/>
    <w:rsid w:val="00B81D9E"/>
    <w:rsid w:val="00BB6C7C"/>
    <w:rsid w:val="00BC0D1B"/>
    <w:rsid w:val="00BC5E75"/>
    <w:rsid w:val="00BE422D"/>
    <w:rsid w:val="00BE5B9A"/>
    <w:rsid w:val="00C306D8"/>
    <w:rsid w:val="00C30BCE"/>
    <w:rsid w:val="00C431CD"/>
    <w:rsid w:val="00C5092F"/>
    <w:rsid w:val="00C8175B"/>
    <w:rsid w:val="00C94E73"/>
    <w:rsid w:val="00C955DF"/>
    <w:rsid w:val="00CB42F2"/>
    <w:rsid w:val="00CC0847"/>
    <w:rsid w:val="00CC6098"/>
    <w:rsid w:val="00CC73B1"/>
    <w:rsid w:val="00CE1779"/>
    <w:rsid w:val="00CE3F1F"/>
    <w:rsid w:val="00D050B7"/>
    <w:rsid w:val="00D421DA"/>
    <w:rsid w:val="00D67214"/>
    <w:rsid w:val="00D81691"/>
    <w:rsid w:val="00D8328A"/>
    <w:rsid w:val="00DA014E"/>
    <w:rsid w:val="00DC44EE"/>
    <w:rsid w:val="00DC7989"/>
    <w:rsid w:val="00E531A8"/>
    <w:rsid w:val="00E57705"/>
    <w:rsid w:val="00E63496"/>
    <w:rsid w:val="00E729AE"/>
    <w:rsid w:val="00E72B4C"/>
    <w:rsid w:val="00E74A60"/>
    <w:rsid w:val="00E8525B"/>
    <w:rsid w:val="00EC1545"/>
    <w:rsid w:val="00ED19C1"/>
    <w:rsid w:val="00EE46FB"/>
    <w:rsid w:val="00EE5E8A"/>
    <w:rsid w:val="00F01A76"/>
    <w:rsid w:val="00F17F70"/>
    <w:rsid w:val="00F30C8A"/>
    <w:rsid w:val="00F31EAA"/>
    <w:rsid w:val="00F4125E"/>
    <w:rsid w:val="00F716FD"/>
    <w:rsid w:val="00F83077"/>
    <w:rsid w:val="00F8645F"/>
    <w:rsid w:val="00F9054D"/>
    <w:rsid w:val="00F92C3E"/>
    <w:rsid w:val="00F96E32"/>
    <w:rsid w:val="00FA100F"/>
    <w:rsid w:val="00FB6461"/>
    <w:rsid w:val="00FC6110"/>
    <w:rsid w:val="00FE50C5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06956A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semiHidden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98</cp:revision>
  <dcterms:created xsi:type="dcterms:W3CDTF">2023-01-26T04:37:00Z</dcterms:created>
  <dcterms:modified xsi:type="dcterms:W3CDTF">2025-08-13T17:30:00Z</dcterms:modified>
</cp:coreProperties>
</file>