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Généralité sur la tuberculose</w:t>
      </w:r>
    </w:p>
    <w:p>
      <w:pPr>
        <w:pStyle w:val="Heading2"/>
      </w:pPr>
      <w:r>
        <w:rPr/>
        <w:t>Généralité</w:t>
      </w:r>
    </w:p>
    <w:p>
      <w:pPr>
        <w:pStyle w:val="Heading3"/>
      </w:pPr>
      <w:r>
        <w:rPr/>
        <w:t>Définition</w:t>
      </w:r>
    </w:p>
    <w:p>
      <w:pPr/>
      <w:r>
        <w:rPr/>
        <w:t xml:space="preserve">Maladie infectieuse à transmission interhumaine liée à </w:t>
      </w:r>
      <w:r>
        <w:rPr/>
        <w:t>Mycobactérium</w:t>
      </w:r>
      <w:r>
        <w:rPr/>
        <w:t xml:space="preserve"> </w:t>
      </w:r>
      <w:r>
        <w:rPr/>
        <w:t>tuberculosis</w:t>
      </w:r>
      <w:r>
        <w:rPr/>
        <w:t xml:space="preserve"> (principalement due à M.T. hominis, rarement M. bovins ou M. </w:t>
      </w:r>
      <w:r>
        <w:rPr/>
        <w:t>africanum</w:t>
      </w:r>
      <w:r>
        <w:rPr/>
        <w:t>)</w:t>
      </w:r>
    </w:p>
    <w:p>
      <w:pPr>
        <w:pStyle w:val="Heading3"/>
      </w:pPr>
      <w:r>
        <w:rPr/>
        <w:t>Intérêts</w:t>
      </w:r>
      <w:r>
        <w:rPr/>
        <w:t xml:space="preserve"> </w:t>
      </w:r>
    </w:p>
    <w:p>
      <w:pPr/>
      <w:r>
        <w:rPr/>
        <w:t>Problème de santé publique majeur</w:t>
      </w:r>
    </w:p>
    <w:p>
      <w:pPr/>
      <w:r>
        <w:rPr/>
        <w:t xml:space="preserve">On estime à 8.3 millions le nombre de nouveau cas par an </w:t>
      </w:r>
    </w:p>
    <w:p>
      <w:pPr/>
      <w:r>
        <w:rPr/>
        <w:t xml:space="preserve">Plus de 1.4 million le nombre de décès </w:t>
      </w:r>
      <w:r>
        <w:rPr/>
        <w:t>dû</w:t>
      </w:r>
      <w:r>
        <w:rPr/>
        <w:t xml:space="preserve"> à cette maladie</w:t>
      </w:r>
    </w:p>
    <w:p>
      <w:pPr/>
      <w:r>
        <w:rPr/>
        <w:t xml:space="preserve">En 2019, 37000 cas de tuberculose ont été pris en charge à Madagascar, 74% de TPB + </w:t>
      </w:r>
    </w:p>
    <w:p>
      <w:pPr/>
      <w:r>
        <w:rPr/>
        <w:t>L’incidence est de 233 cas pour 100000 habitants (OMS) en 2022</w:t>
      </w:r>
    </w:p>
    <w:p>
      <w:pPr/>
      <w:r>
        <w:rPr/>
        <w:t xml:space="preserve">En </w:t>
      </w:r>
      <w:r>
        <w:rPr/>
        <w:t>2016, 3.64</w:t>
      </w:r>
      <w:r>
        <w:rPr/>
        <w:t>% de décès chez les malades TPBT mis en traitement</w:t>
      </w:r>
    </w:p>
    <w:p>
      <w:pPr>
        <w:pStyle w:val="Heading3"/>
      </w:pPr>
      <w:r>
        <w:rPr/>
        <w:t>Bactériologies</w:t>
      </w:r>
      <w:r>
        <w:rPr/>
        <w:t xml:space="preserve"> </w:t>
      </w:r>
    </w:p>
    <w:p>
      <w:pPr>
        <w:pStyle w:val="Heading4"/>
      </w:pPr>
      <w:r>
        <w:rPr/>
        <w:t>Agents responsables = mycobactéries</w:t>
      </w:r>
    </w:p>
    <w:p>
      <w:pPr/>
      <w:r>
        <w:rPr/>
        <w:t>MT (</w:t>
      </w:r>
      <w:r>
        <w:rPr/>
        <w:t>le plus fréquent</w:t>
      </w:r>
      <w:r>
        <w:rPr/>
        <w:t>)</w:t>
      </w:r>
    </w:p>
    <w:p>
      <w:pPr/>
      <w:r>
        <w:rPr/>
        <w:t xml:space="preserve">M bovin </w:t>
      </w:r>
    </w:p>
    <w:p>
      <w:pPr/>
      <w:r>
        <w:rPr/>
        <w:t xml:space="preserve">M </w:t>
      </w:r>
      <w:r>
        <w:rPr/>
        <w:t>africanum</w:t>
      </w:r>
    </w:p>
    <w:p>
      <w:pPr>
        <w:pStyle w:val="Heading4"/>
      </w:pPr>
      <w:r>
        <w:rPr/>
        <w:t>Morphologie MT</w:t>
      </w:r>
    </w:p>
    <w:p>
      <w:pPr/>
      <w:r>
        <w:rPr/>
        <w:t>Bacilles fins, légèrement incurvés</w:t>
      </w:r>
    </w:p>
    <w:p>
      <w:pPr/>
      <w:r>
        <w:rPr/>
        <w:t>De 2 – 5 µm, sur 0.3 – 0.5 µm</w:t>
      </w:r>
    </w:p>
    <w:p>
      <w:pPr/>
      <w:r>
        <w:rPr/>
        <w:t>Aérobies stricts</w:t>
      </w:r>
      <w:r>
        <w:rPr/>
        <w:t xml:space="preserve"> d’où sa localisation</w:t>
      </w:r>
    </w:p>
    <w:p>
      <w:pPr/>
      <w:r>
        <w:rPr/>
        <w:t>Non encapsulés</w:t>
      </w:r>
    </w:p>
    <w:p>
      <w:pPr>
        <w:pStyle w:val="Heading4"/>
      </w:pPr>
      <w:r>
        <w:rPr/>
        <w:t>Propriété physi</w:t>
      </w:r>
      <w:r>
        <w:rPr/>
        <w:t>c</w:t>
      </w:r>
      <w:r>
        <w:rPr/>
        <w:t>o-chimique</w:t>
      </w:r>
    </w:p>
    <w:p>
      <w:pPr/>
      <w:r>
        <w:rPr/>
        <w:t xml:space="preserve">Coloration par </w:t>
      </w:r>
      <w:r>
        <w:rPr/>
        <w:t>méthode</w:t>
      </w:r>
      <w:r>
        <w:rPr/>
        <w:t xml:space="preserve"> de Ziehl et </w:t>
      </w:r>
      <w:r>
        <w:rPr/>
        <w:t>Nielsen</w:t>
      </w:r>
    </w:p>
    <w:p>
      <w:pPr/>
      <w:r>
        <w:rPr/>
        <w:t>Restent coloré malgré l’action de l’acide ou l’alcool</w:t>
      </w:r>
    </w:p>
    <w:p>
      <w:pPr/>
      <w:r>
        <w:rPr/>
        <w:t xml:space="preserve">Nomination bacille </w:t>
      </w:r>
      <w:r>
        <w:rPr/>
        <w:t>acido-alcoolo-résistant</w:t>
      </w:r>
      <w:r>
        <w:rPr/>
        <w:t xml:space="preserve"> ou BAAR</w:t>
      </w:r>
    </w:p>
    <w:p>
      <w:pPr/>
      <w:r>
        <w:rPr/>
        <w:t xml:space="preserve">Très résistants à la </w:t>
      </w:r>
      <w:r>
        <w:rPr/>
        <w:t>dessiccation</w:t>
      </w:r>
    </w:p>
    <w:p>
      <w:pPr/>
      <w:r>
        <w:rPr/>
        <w:t>Résistent aux antiseptiques hydrosolubles</w:t>
      </w:r>
    </w:p>
    <w:p>
      <w:pPr/>
      <w:r>
        <w:rPr/>
        <w:t xml:space="preserve">Sensibles aux produits </w:t>
      </w:r>
      <w:r>
        <w:rPr/>
        <w:t>liposolubles</w:t>
      </w:r>
      <w:r>
        <w:rPr/>
        <w:t>, comme alcool et éther</w:t>
      </w:r>
    </w:p>
    <w:p>
      <w:pPr/>
      <w:r>
        <w:rPr/>
        <w:t xml:space="preserve">Résistent </w:t>
      </w:r>
      <w:r>
        <w:rPr/>
        <w:t>aux enzymes</w:t>
      </w:r>
      <w:r>
        <w:rPr/>
        <w:t xml:space="preserve"> des phagocytes</w:t>
      </w:r>
    </w:p>
    <w:p>
      <w:pPr>
        <w:pStyle w:val="Heading4"/>
      </w:pPr>
      <w:r>
        <w:rPr/>
        <w:t>Multiplication bacillaire</w:t>
      </w:r>
    </w:p>
    <w:p>
      <w:pPr/>
      <w:r>
        <w:rPr/>
        <w:t>Bacilles à croissance lente (2 – 6 semaines)</w:t>
      </w:r>
    </w:p>
    <w:p>
      <w:pPr/>
      <w:r>
        <w:rPr/>
        <w:t>Exigeant des milieux spéciaux</w:t>
      </w:r>
    </w:p>
    <w:p>
      <w:pPr/>
      <w:r>
        <w:rPr/>
        <w:t xml:space="preserve">Milieu de </w:t>
      </w:r>
      <w:r>
        <w:rPr/>
        <w:t>Lowenstein</w:t>
      </w:r>
      <w:r>
        <w:rPr/>
        <w:t xml:space="preserve"> (</w:t>
      </w:r>
      <w:r>
        <w:rPr/>
        <w:t xml:space="preserve">Jensen, </w:t>
      </w:r>
      <w:r>
        <w:rPr/>
        <w:t xml:space="preserve"> ….</w:t>
      </w:r>
      <w:r>
        <w:rPr/>
        <w:t>.)</w:t>
      </w:r>
    </w:p>
    <w:p>
      <w:pPr/>
      <w:r>
        <w:rPr/>
        <w:t xml:space="preserve">Les colonies apparaissent après 2 – 4 semaines </w:t>
      </w:r>
    </w:p>
    <w:p>
      <w:pPr/>
      <w:r>
        <w:rPr/>
        <w:t xml:space="preserve">Blanc – </w:t>
      </w:r>
      <w:r>
        <w:rPr/>
        <w:t>ivoire</w:t>
      </w:r>
      <w:r>
        <w:rPr/>
        <w:t xml:space="preserve">, aspect en chou-fleur </w:t>
      </w:r>
    </w:p>
    <w:p>
      <w:pPr>
        <w:pStyle w:val="Heading3"/>
      </w:pPr>
      <w:r>
        <w:rPr/>
        <w:t>Mode de transmission</w:t>
      </w:r>
      <w:r>
        <w:rPr/>
        <w:t xml:space="preserve"> </w:t>
      </w:r>
    </w:p>
    <w:p>
      <w:pPr>
        <w:pStyle w:val="Heading4"/>
      </w:pPr>
      <w:r>
        <w:rPr/>
        <w:t>Transmission</w:t>
      </w:r>
      <w:r>
        <w:rPr/>
        <w:t xml:space="preserve"> </w:t>
      </w:r>
    </w:p>
    <w:p>
      <w:pPr/>
      <w:r>
        <w:rPr/>
        <w:t>Voie aérienne directe à partie du malade vers sujet réceptif</w:t>
      </w:r>
    </w:p>
    <w:p>
      <w:pPr/>
      <w:r>
        <w:rPr/>
        <w:t>Moins contagieuse : TPM</w:t>
      </w:r>
      <w:r>
        <w:rPr/>
        <w:t xml:space="preserve"> </w:t>
      </w:r>
      <w:r>
        <w:rPr/>
        <w:t>(-) avec culture (+)</w:t>
      </w:r>
    </w:p>
    <w:p>
      <w:pPr/>
      <w:r>
        <w:rPr/>
        <w:t xml:space="preserve">Non contagieuse : TE </w:t>
      </w:r>
    </w:p>
    <w:p>
      <w:pPr/>
      <w:r>
        <w:rPr/>
        <w:t>Transmission digestive par lait ou M bovin</w:t>
      </w:r>
    </w:p>
    <w:p>
      <w:pPr>
        <w:pStyle w:val="Heading4"/>
      </w:pPr>
      <w:r>
        <w:rPr/>
        <w:t>Source</w:t>
      </w:r>
    </w:p>
    <w:p>
      <w:pPr/>
      <w:r>
        <w:rPr/>
        <w:t xml:space="preserve">TBP (+) </w:t>
      </w:r>
      <w:r>
        <w:rPr/>
      </w:r>
      <w:r>
        <w:rPr/>
        <w:t xml:space="preserve"> </w:t>
      </w:r>
      <w:r>
        <w:rPr/>
        <w:t>bacilifère</w:t>
      </w:r>
      <w:r>
        <w:rPr/>
        <w:t xml:space="preserve"> </w:t>
      </w:r>
      <w:r>
        <w:rPr/>
      </w:r>
      <w:r>
        <w:rPr/>
        <w:t xml:space="preserve"> non traité</w:t>
      </w:r>
    </w:p>
    <w:p>
      <w:pPr/>
      <w:r>
        <w:rPr/>
        <w:t>Tousseur chroniques</w:t>
      </w:r>
    </w:p>
    <w:p>
      <w:pPr/>
      <w:r>
        <w:rPr/>
        <w:t>Augementation</w:t>
      </w:r>
      <w:r>
        <w:rPr/>
        <w:t xml:space="preserve"> malade non traité infecté 12 personnes par an</w:t>
      </w:r>
    </w:p>
    <w:p>
      <w:pPr>
        <w:pStyle w:val="Heading4"/>
      </w:pPr>
      <w:r>
        <w:rPr/>
        <w:t>Facteur de transmission</w:t>
      </w:r>
      <w:r>
        <w:rPr/>
        <w:t xml:space="preserve"> </w:t>
      </w:r>
    </w:p>
    <w:p>
      <w:pPr/>
      <w:r>
        <w:rPr/>
        <w:t>Promiscuité</w:t>
      </w:r>
    </w:p>
    <w:p>
      <w:pPr/>
      <w:r>
        <w:rPr/>
        <w:t>Manque d’aération habitat</w:t>
      </w:r>
    </w:p>
    <w:p>
      <w:pPr/>
      <w:r>
        <w:rPr/>
        <w:t>Manque d’exposition à la lumière de l’habitat</w:t>
      </w:r>
    </w:p>
    <w:p>
      <w:pPr>
        <w:pStyle w:val="Heading4"/>
      </w:pPr>
      <w:r>
        <w:rPr/>
        <w:t>Contamination par :</w:t>
      </w:r>
      <w:r>
        <w:rPr/>
        <w:t xml:space="preserve"> </w:t>
      </w:r>
    </w:p>
    <w:p>
      <w:pPr/>
      <w:r>
        <w:rPr/>
        <w:t>Toux</w:t>
      </w:r>
    </w:p>
    <w:p>
      <w:pPr/>
      <w:r>
        <w:rPr/>
        <w:t xml:space="preserve">Eternuement </w:t>
      </w:r>
    </w:p>
    <w:p>
      <w:pPr/>
      <w:r>
        <w:rPr/>
        <w:t>Parole</w:t>
      </w:r>
    </w:p>
    <w:p>
      <w:pPr>
        <w:pStyle w:val="Heading4"/>
      </w:pPr>
      <w:r>
        <w:rPr/>
        <w:t>Nombre de bacille</w:t>
      </w:r>
    </w:p>
    <w:p>
      <w:pPr/>
      <w:r>
        <w:rPr/>
        <w:t xml:space="preserve">Tb excavée </w:t>
      </w:r>
      <w:r>
        <w:rPr/>
      </w:r>
      <w:r>
        <w:rPr/>
        <w:t xml:space="preserve"> 10</w:t>
      </w:r>
      <w:r>
        <w:rPr/>
        <w:t>4</w:t>
      </w:r>
      <w:r>
        <w:rPr/>
        <w:t xml:space="preserve"> bacilles / ml de sécrétion </w:t>
      </w:r>
    </w:p>
    <w:p>
      <w:pPr/>
      <w:r>
        <w:rPr/>
        <w:t>Caverne : 10^7 – 10</w:t>
      </w:r>
      <w:r>
        <w:rPr/>
        <w:t>10</w:t>
      </w:r>
      <w:r>
        <w:rPr/>
        <w:t xml:space="preserve"> bacilles </w:t>
      </w:r>
    </w:p>
    <w:p>
      <w:pPr/>
      <w:r>
        <w:rPr/>
        <w:t>Lésion caséeuse : 10</w:t>
      </w:r>
      <w:r>
        <w:rPr/>
        <w:t>2</w:t>
      </w:r>
      <w:r>
        <w:rPr/>
        <w:t xml:space="preserve"> – 10</w:t>
      </w:r>
      <w:r>
        <w:rPr/>
        <w:t>3</w:t>
      </w:r>
      <w:r>
        <w:rPr/>
        <w:t xml:space="preserve"> bacilles</w:t>
      </w:r>
    </w:p>
    <w:p>
      <w:pPr/>
      <w:r>
        <w:rPr/>
        <w:t xml:space="preserve">1 quinté de toux disperse 3500 particules </w:t>
      </w:r>
    </w:p>
    <w:p>
      <w:pPr/>
      <w:r>
        <w:rPr/>
        <w:t>1 éternuement ……</w:t>
      </w:r>
    </w:p>
    <w:p>
      <w:pPr/>
      <w:r>
        <w:rPr/>
        <w:t>1 particule infectante : 1 – 3 bacilles</w:t>
      </w:r>
    </w:p>
    <w:p>
      <w:pPr>
        <w:pStyle w:val="Heading4"/>
      </w:pPr>
      <w:r>
        <w:rPr/>
        <w:t>Petites particules</w:t>
      </w:r>
    </w:p>
    <w:p>
      <w:pPr/>
      <w:r>
        <w:rPr/>
        <w:t xml:space="preserve">Arrivent jusqu’aux alvéoles </w:t>
      </w:r>
    </w:p>
    <w:p>
      <w:pPr/>
      <w:r>
        <w:rPr/>
        <w:t>Responsable infection</w:t>
      </w:r>
    </w:p>
    <w:p>
      <w:pPr/>
      <w:r>
        <w:rPr/>
        <w:t>Multiplication BK dans les macrophages alvéolaires</w:t>
      </w:r>
    </w:p>
    <w:p>
      <w:pPr>
        <w:pStyle w:val="Heading4"/>
      </w:pPr>
      <w:r>
        <w:rPr/>
        <w:t>Grosses particules</w:t>
      </w:r>
    </w:p>
    <w:p>
      <w:pPr/>
      <w:r>
        <w:rPr/>
        <w:t>S’impactent au niveau du nasopharynx</w:t>
      </w:r>
    </w:p>
    <w:p>
      <w:pPr/>
      <w:r>
        <w:rPr/>
        <w:t xml:space="preserve">Arrêts dans arbres trachéo-bronchique </w:t>
      </w:r>
    </w:p>
    <w:p>
      <w:pPr/>
      <w:r>
        <w:rPr/>
        <w:t xml:space="preserve">Eliminer via le tapis mucociliaire </w:t>
      </w:r>
    </w:p>
    <w:p>
      <w:pPr>
        <w:pStyle w:val="Heading3"/>
      </w:pPr>
      <w:r>
        <w:rPr/>
        <w:t>Histoires naturelles</w:t>
      </w:r>
    </w:p>
    <w:p>
      <w:pPr>
        <w:pStyle w:val="Heading4"/>
      </w:pPr>
      <w:r>
        <w:rPr/>
        <w:t xml:space="preserve">Se fait en trois étapes : </w:t>
      </w:r>
    </w:p>
    <w:p>
      <w:pPr>
        <w:pStyle w:val="Heading5"/>
      </w:pPr>
      <w:r>
        <w:rPr/>
        <w:t>Etape 1 : contamination du sujet</w:t>
      </w:r>
    </w:p>
    <w:p>
      <w:pPr/>
      <w:r>
        <w:rPr/>
        <w:t>Transmission aérienne à parti</w:t>
      </w:r>
      <w:r>
        <w:rPr/>
        <w:t>r</w:t>
      </w:r>
      <w:r>
        <w:rPr/>
        <w:t xml:space="preserve"> d’une personne bacillifère (toux, éternuement, parole)</w:t>
      </w:r>
    </w:p>
    <w:p>
      <w:pPr/>
      <w:r>
        <w:rPr/>
        <w:t xml:space="preserve">Inhalation de gouttelettes salivaire contenant du BK (gouttelettes </w:t>
      </w:r>
      <w:r>
        <w:rPr/>
        <w:t>Flügge</w:t>
      </w:r>
      <w:r>
        <w:rPr/>
        <w:t>)</w:t>
      </w:r>
    </w:p>
    <w:p>
      <w:pPr/>
      <w:r>
        <w:rPr/>
        <w:t xml:space="preserve">Les gouttelettes, et donc quelque </w:t>
      </w:r>
      <w:r>
        <w:rPr/>
        <w:t>bacille</w:t>
      </w:r>
      <w:r>
        <w:rPr/>
        <w:t xml:space="preserve">, atteignant </w:t>
      </w:r>
      <w:r>
        <w:rPr/>
        <w:t>les territoires alvéolaire</w:t>
      </w:r>
      <w:r>
        <w:rPr/>
        <w:t xml:space="preserve">, c’est le « </w:t>
      </w:r>
      <w:r>
        <w:rPr>
          <w:b/>
        </w:rPr>
        <w:t xml:space="preserve">foyer primaire » </w:t>
      </w:r>
    </w:p>
    <w:p>
      <w:pPr>
        <w:pStyle w:val="Heading5"/>
      </w:pPr>
      <w:r>
        <w:rPr/>
        <w:t xml:space="preserve">Etape 2 : développement d’une primo-infection </w:t>
      </w:r>
      <w:r>
        <w:rPr/>
        <w:t>tuberculeuse</w:t>
      </w:r>
      <w:r>
        <w:rPr/>
        <w:t xml:space="preserve"> (PIT) :</w:t>
      </w:r>
    </w:p>
    <w:p>
      <w:pPr/>
      <w:r>
        <w:rPr/>
        <w:t xml:space="preserve">Du niveau du « foyer primaire » : les bacilles sont phagocytés par des </w:t>
      </w:r>
      <w:r>
        <w:rPr/>
        <w:t>macrophages</w:t>
      </w:r>
      <w:r>
        <w:rPr/>
        <w:t xml:space="preserve"> alvéolaires, et se multiplient dans les macrophages</w:t>
      </w:r>
    </w:p>
    <w:p>
      <w:pPr/>
      <w:r>
        <w:rPr/>
        <w:t>Gagnent le ganglion hilaire satellite du foyer primaire</w:t>
      </w:r>
    </w:p>
    <w:p>
      <w:pPr/>
      <w:r>
        <w:rPr/>
        <w:t xml:space="preserve">L’association du foyer </w:t>
      </w:r>
      <w:r>
        <w:rPr/>
        <w:t>primaire</w:t>
      </w:r>
      <w:r>
        <w:rPr/>
        <w:t xml:space="preserve"> et du l’adénopathie satellite est appelée « </w:t>
      </w:r>
      <w:r>
        <w:rPr>
          <w:b/>
        </w:rPr>
        <w:t xml:space="preserve">complexe primaire » </w:t>
      </w:r>
    </w:p>
    <w:p>
      <w:pPr/>
      <w:r>
        <w:rPr/>
        <w:t xml:space="preserve">Dans les semaines suivantes la PIT, une </w:t>
      </w:r>
      <w:r>
        <w:rPr/>
        <w:t>réponsé</w:t>
      </w:r>
      <w:r>
        <w:rPr/>
        <w:t xml:space="preserve"> immune à médiation cellulaire se développe</w:t>
      </w:r>
    </w:p>
    <w:p>
      <w:pPr/>
      <w:r>
        <w:rPr/>
        <w:t xml:space="preserve">Puis, afflux de </w:t>
      </w:r>
      <w:r>
        <w:rPr/>
        <w:t>cellus</w:t>
      </w:r>
      <w:r>
        <w:rPr/>
        <w:t xml:space="preserve"> monocytaires d’allure </w:t>
      </w:r>
      <w:r>
        <w:rPr/>
        <w:t>épithéloïde</w:t>
      </w:r>
      <w:r>
        <w:rPr/>
        <w:t xml:space="preserve">, avec au centre une nécrose dite « </w:t>
      </w:r>
      <w:r>
        <w:rPr>
          <w:b/>
        </w:rPr>
        <w:t>caséeuse »</w:t>
      </w:r>
    </w:p>
    <w:p>
      <w:pPr/>
      <w:r>
        <w:rPr>
          <w:color w:val="ED7D31"/>
        </w:rPr>
        <w:t xml:space="preserve">Formation </w:t>
      </w:r>
      <w:r>
        <w:rPr>
          <w:color w:val="ED7D31"/>
        </w:rPr>
        <w:t>des granulomes</w:t>
      </w:r>
      <w:r>
        <w:rPr>
          <w:color w:val="ED7D31"/>
        </w:rPr>
        <w:t xml:space="preserve"> </w:t>
      </w:r>
      <w:r>
        <w:rPr>
          <w:color w:val="ED7D31"/>
        </w:rPr>
        <w:t>ginganto-cellulaire</w:t>
      </w:r>
      <w:r>
        <w:rPr>
          <w:color w:val="ED7D31"/>
        </w:rPr>
        <w:t xml:space="preserve"> avec nécrose caséeuse</w:t>
      </w:r>
    </w:p>
    <w:p>
      <w:pPr/>
      <w:r>
        <w:rPr>
          <w:color w:val="000000"/>
        </w:rPr>
        <w:t xml:space="preserve">Si la réplication bacillaire est </w:t>
      </w:r>
      <w:r>
        <w:rPr>
          <w:color w:val="000000"/>
        </w:rPr>
        <w:t>inhalé</w:t>
      </w:r>
      <w:r>
        <w:rPr>
          <w:color w:val="000000"/>
        </w:rPr>
        <w:t>, les lésions peuvent se calcifier</w:t>
      </w:r>
    </w:p>
    <w:p>
      <w:pPr/>
      <w:r>
        <w:rPr>
          <w:color w:val="000000"/>
        </w:rPr>
        <w:t>Elles contiennent alors un faible nomb</w:t>
      </w:r>
      <w:r>
        <w:rPr>
          <w:color w:val="000000"/>
        </w:rPr>
        <w:t>r</w:t>
      </w:r>
      <w:r>
        <w:rPr>
          <w:color w:val="000000"/>
        </w:rPr>
        <w:t>e (&lt;10</w:t>
      </w:r>
      <w:r>
        <w:rPr>
          <w:color w:val="000000"/>
        </w:rPr>
        <w:t>5</w:t>
      </w:r>
      <w:r>
        <w:rPr>
          <w:color w:val="000000"/>
        </w:rPr>
        <w:t xml:space="preserve">) de bacilles dits quiescent, en position </w:t>
      </w:r>
      <w:r>
        <w:rPr>
          <w:color w:val="000000"/>
        </w:rPr>
        <w:t>intracellulaire</w:t>
      </w:r>
      <w:r>
        <w:rPr>
          <w:color w:val="000000"/>
        </w:rPr>
        <w:t xml:space="preserve"> ou au sein du caséum solide</w:t>
      </w:r>
    </w:p>
    <w:p>
      <w:pPr>
        <w:pStyle w:val="Heading5"/>
      </w:pPr>
      <w:r>
        <w:rPr/>
        <w:t xml:space="preserve">Etape 3 : le développement de la tuberculose maladie </w:t>
      </w:r>
    </w:p>
    <w:p>
      <w:pPr/>
      <w:r>
        <w:rPr>
          <w:color w:val="000000"/>
        </w:rPr>
        <w:t>A n’importe quel moment, pendant l’ITL ou après ITL</w:t>
      </w:r>
    </w:p>
    <w:p>
      <w:pPr/>
      <w:r>
        <w:rPr>
          <w:color w:val="000000"/>
        </w:rPr>
        <w:t xml:space="preserve">Lors d’une baisse de l’immunité, multiplication des bacilles quiescents </w:t>
      </w:r>
      <w:r>
        <w:rPr>
          <w:color w:val="000000"/>
        </w:rPr>
      </w:r>
      <w:r>
        <w:rPr>
          <w:color w:val="000000"/>
        </w:rPr>
        <w:t xml:space="preserve"> développement d’une tuberculose maladie (contagieuse)</w:t>
      </w:r>
    </w:p>
    <w:p>
      <w:pPr/>
      <w:r>
        <w:rPr>
          <w:color w:val="000000"/>
        </w:rPr>
        <w:t>Le développement de MT est favorisé par :</w:t>
      </w:r>
    </w:p>
    <w:p>
      <w:pPr/>
      <w:r>
        <w:rPr>
          <w:color w:val="000000"/>
        </w:rPr>
        <w:t>La précarité</w:t>
      </w:r>
    </w:p>
    <w:p>
      <w:pPr/>
      <w:r>
        <w:rPr>
          <w:color w:val="000000"/>
        </w:rPr>
        <w:t>La malnutrition l’alcoolisme, tabagisme</w:t>
      </w:r>
    </w:p>
    <w:p>
      <w:pPr/>
      <w:r>
        <w:rPr>
          <w:color w:val="000000"/>
        </w:rPr>
        <w:t xml:space="preserve">L’immunodépression (infection VIH, tumeurs solide et hémopathies, traitement </w:t>
      </w:r>
      <w:r>
        <w:rPr>
          <w:color w:val="000000"/>
        </w:rPr>
        <w:t>immunosuppresseur</w:t>
      </w:r>
      <w:r>
        <w:rPr>
          <w:color w:val="000000"/>
        </w:rPr>
        <w:t xml:space="preserve"> (TNF)</w:t>
      </w:r>
    </w:p>
    <w:p>
      <w:pPr/>
      <w:r>
        <w:rPr>
          <w:color w:val="000000"/>
        </w:rPr>
        <w:t>Le diabète, l’insuffisance rénale</w:t>
      </w:r>
    </w:p>
    <w:p>
      <w:pPr/>
      <w:r>
        <w:rPr>
          <w:color w:val="000000"/>
        </w:rPr>
        <w:t>La toxicomanie</w:t>
      </w:r>
    </w:p>
    <w:p>
      <w:pPr/>
      <w:r>
        <w:rPr>
          <w:color w:val="000000"/>
        </w:rPr>
        <w:t>Les âges extrêmes</w:t>
      </w:r>
    </w:p>
    <w:p>
      <w:pPr>
        <w:pStyle w:val="Heading3"/>
      </w:pPr>
      <w:r>
        <w:rPr/>
        <w:t>Les facteurs de risques de la tuberculose</w:t>
      </w:r>
      <w:r>
        <w:rPr/>
        <w:t xml:space="preserve"> </w:t>
      </w:r>
    </w:p>
    <w:p>
      <w:pPr>
        <w:pStyle w:val="Heading4"/>
      </w:pPr>
      <w:r>
        <w:rPr/>
        <w:t>Facteur de risques individuels</w:t>
      </w:r>
    </w:p>
    <w:p>
      <w:pPr/>
      <w:r>
        <w:rPr/>
        <w:t>Pays d’origine à forte incidence (Afrique, Asie)</w:t>
      </w:r>
    </w:p>
    <w:p>
      <w:pPr/>
      <w:r>
        <w:rPr/>
        <w:t>Age élevé (&gt; 50 ans)</w:t>
      </w:r>
    </w:p>
    <w:p>
      <w:pPr/>
      <w:r>
        <w:rPr/>
        <w:t>Malnutrition</w:t>
      </w:r>
      <w:r>
        <w:rPr/>
        <w:t xml:space="preserve"> </w:t>
      </w:r>
    </w:p>
    <w:p>
      <w:pPr/>
      <w:r>
        <w:rPr/>
        <w:t>Ethylisme chronique</w:t>
      </w:r>
    </w:p>
    <w:p>
      <w:pPr/>
      <w:r>
        <w:rPr/>
        <w:t>Absence de vaccination au BCG</w:t>
      </w:r>
    </w:p>
    <w:p>
      <w:pPr>
        <w:pStyle w:val="Heading4"/>
      </w:pPr>
      <w:r>
        <w:rPr/>
        <w:t xml:space="preserve">Pathologie </w:t>
      </w:r>
      <w:r>
        <w:rPr/>
        <w:t>sous-jacente</w:t>
      </w:r>
      <w:r>
        <w:rPr/>
        <w:t xml:space="preserve"> </w:t>
      </w:r>
    </w:p>
    <w:p>
      <w:pPr/>
      <w:r>
        <w:rPr/>
        <w:t>Pathologies respiratoires chronique (silicose +++)</w:t>
      </w:r>
    </w:p>
    <w:p>
      <w:pPr/>
      <w:r>
        <w:rPr/>
        <w:t>Infection VIH</w:t>
      </w:r>
    </w:p>
    <w:p>
      <w:pPr/>
      <w:r>
        <w:rPr/>
        <w:t>Autre immunodépression (diabète mal équilibré, éthylisme, cancer et sd lymphoprolifératif, insuffisance rénale chronique, transplantés)</w:t>
      </w:r>
    </w:p>
    <w:p>
      <w:pPr>
        <w:pStyle w:val="Heading4"/>
      </w:pPr>
      <w:r>
        <w:rPr/>
        <w:t>Traitements</w:t>
      </w:r>
      <w:r>
        <w:rPr/>
        <w:t xml:space="preserve"> </w:t>
      </w:r>
    </w:p>
    <w:p>
      <w:pPr/>
      <w:r>
        <w:rPr/>
        <w:t xml:space="preserve">Traitement </w:t>
      </w:r>
      <w:r>
        <w:rPr/>
        <w:t>immunosuppresseur</w:t>
      </w:r>
      <w:r>
        <w:rPr/>
        <w:t>, chimiothérapie, corticothérapie</w:t>
      </w:r>
    </w:p>
    <w:p>
      <w:pPr/>
      <w:r>
        <w:rPr/>
        <w:t>Anti-TNF alpha (polyarthrite)</w:t>
      </w:r>
    </w:p>
    <w:p>
      <w:pPr>
        <w:pStyle w:val="Heading4"/>
      </w:pPr>
      <w:r>
        <w:rPr/>
        <w:t>Facteurs de risques sociaux</w:t>
      </w:r>
      <w:r>
        <w:rPr/>
        <w:t xml:space="preserve"> </w:t>
      </w:r>
    </w:p>
    <w:p>
      <w:pPr/>
      <w:r>
        <w:rPr/>
        <w:t>Mauvaise conduite socio-économique, habitat précaire</w:t>
      </w:r>
    </w:p>
    <w:p>
      <w:pPr/>
      <w:r>
        <w:rPr/>
        <w:t>Promiscuité</w:t>
      </w:r>
    </w:p>
    <w:p>
      <w:pPr/>
      <w:r>
        <w:rPr/>
        <w:t>Contacts avec des sujets tuberculeux</w:t>
      </w:r>
    </w:p>
    <w:p>
      <w:pPr>
        <w:pStyle w:val="Heading2"/>
      </w:pPr>
      <w:r>
        <w:rPr/>
        <w:t>Primo-infection tuberculeux (PIT)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>Ensemble de manifestation anatomiques, clinique et biologiques dues au premier contact du bacille avec un organisme indemne de BK</w:t>
      </w:r>
    </w:p>
    <w:p>
      <w:pPr>
        <w:pStyle w:val="Heading4"/>
      </w:pPr>
      <w:r>
        <w:rPr/>
        <w:t>PIT latente (90% des cas)</w:t>
      </w:r>
    </w:p>
    <w:p>
      <w:pPr/>
      <w:r>
        <w:rPr/>
        <w:t>Sans localisation ni expression clinque patente</w:t>
      </w:r>
    </w:p>
    <w:p>
      <w:pPr/>
      <w:r>
        <w:rPr/>
        <w:t>Simple virage test tuberculinique (IDR)</w:t>
      </w:r>
    </w:p>
    <w:p>
      <w:pPr>
        <w:pStyle w:val="Heading4"/>
      </w:pPr>
      <w:r>
        <w:rPr/>
        <w:t>PIT patente (10% des cas)</w:t>
      </w:r>
    </w:p>
    <w:p>
      <w:pPr/>
      <w:r>
        <w:rPr/>
        <w:t>PIT + signes radiologiques +/- ………</w:t>
      </w:r>
    </w:p>
    <w:p>
      <w:pPr>
        <w:pStyle w:val="Heading3"/>
      </w:pPr>
      <w:r>
        <w:rPr/>
        <w:t>PIT latente</w:t>
      </w:r>
      <w:r>
        <w:rPr/>
        <w:t xml:space="preserve"> </w:t>
      </w:r>
    </w:p>
    <w:p>
      <w:pPr/>
      <w:r>
        <w:rPr/>
        <w:t xml:space="preserve">Absence signe clinique </w:t>
      </w:r>
      <w:r>
        <w:rPr/>
        <w:t>radiologique</w:t>
      </w:r>
      <w:r>
        <w:rPr/>
        <w:t xml:space="preserve"> et bactériologique </w:t>
      </w:r>
    </w:p>
    <w:p>
      <w:pPr/>
      <w:r>
        <w:rPr/>
        <w:t xml:space="preserve">Seule anomalie </w:t>
      </w:r>
    </w:p>
    <w:p>
      <w:pPr>
        <w:pStyle w:val="Heading4"/>
      </w:pPr>
      <w:r>
        <w:rPr/>
        <w:t>Virage récent IDR tuberculinique antérieurement négatives</w:t>
      </w:r>
    </w:p>
    <w:p>
      <w:pPr>
        <w:pStyle w:val="Heading5"/>
      </w:pPr>
      <w:r>
        <w:rPr/>
        <w:t>Première IDR négative</w:t>
      </w:r>
    </w:p>
    <w:p>
      <w:pPr/>
      <w:r>
        <w:rPr/>
        <w:t>Suivie de 1 – 3 mois plus tard d’une deuxième IDR &gt;= 10 mm</w:t>
      </w:r>
    </w:p>
    <w:p>
      <w:pPr>
        <w:pStyle w:val="Heading5"/>
      </w:pPr>
      <w:r>
        <w:rPr/>
        <w:t xml:space="preserve">Première IDR douteuse : </w:t>
      </w:r>
    </w:p>
    <w:p>
      <w:pPr/>
      <w:r>
        <w:rPr/>
        <w:t>Suivie d’une 2</w:t>
      </w:r>
      <w:r>
        <w:rPr/>
        <w:t>ème</w:t>
      </w:r>
      <w:r>
        <w:rPr/>
        <w:t xml:space="preserve"> IDR (+) avec diamètre de &gt;= 10 mm entre ……</w:t>
      </w:r>
    </w:p>
    <w:p>
      <w:pPr/>
      <w:r>
        <w:rPr/>
        <w:t>Test de référence : IDR tuberculine 10 unités (0.1ml)</w:t>
      </w:r>
    </w:p>
    <w:p>
      <w:pPr/>
      <w:r>
        <w:rPr/>
        <w:t xml:space="preserve">Lecture à 72 heures </w:t>
      </w:r>
    </w:p>
    <w:p>
      <w:pPr>
        <w:pStyle w:val="Heading6"/>
      </w:pPr>
      <w:r>
        <w:rPr/>
        <w:t>Réaction positive : érythème et induration</w:t>
      </w:r>
    </w:p>
    <w:p>
      <w:pPr/>
      <w:r>
        <w:rPr/>
        <w:t>Positive &gt;= 10mm</w:t>
      </w:r>
    </w:p>
    <w:p>
      <w:pPr/>
      <w:r>
        <w:rPr/>
        <w:t>Négative &lt; 5 mm</w:t>
      </w:r>
    </w:p>
    <w:p>
      <w:pPr/>
      <w:r>
        <w:rPr/>
        <w:t>Non significative : 5 – 9 mm</w:t>
      </w:r>
    </w:p>
    <w:p>
      <w:pPr/>
      <w:r>
        <w:rPr/>
        <w:t>Immunodéprimé : positive à 5 mm</w:t>
      </w:r>
    </w:p>
    <w:p>
      <w:pPr>
        <w:pStyle w:val="Heading4"/>
      </w:pPr>
      <w:r>
        <w:rPr/>
        <w:t>Test IGRA (interferon gamma release assay)</w:t>
      </w:r>
    </w:p>
    <w:p>
      <w:pPr/>
      <w:r>
        <w:rPr/>
        <w:t xml:space="preserve">Testé et réalisé sur le sang </w:t>
      </w:r>
    </w:p>
    <w:p>
      <w:pPr/>
      <w:r>
        <w:rPr/>
        <w:t>Mise en évidence de la libération in vitro d’interféron gamma par les cellules T ap</w:t>
      </w:r>
      <w:r>
        <w:rPr/>
        <w:t>r</w:t>
      </w:r>
      <w:r>
        <w:rPr/>
        <w:t xml:space="preserve">ès stimulation par des antigènes spécifiques de MT </w:t>
      </w:r>
    </w:p>
    <w:p>
      <w:pPr>
        <w:pStyle w:val="Heading3"/>
      </w:pPr>
      <w:r>
        <w:rPr/>
        <w:t>PIT patente</w:t>
      </w:r>
    </w:p>
    <w:p>
      <w:pPr/>
      <w:r>
        <w:rPr/>
        <w:t xml:space="preserve">Touche </w:t>
      </w:r>
      <w:r>
        <w:rPr/>
        <w:t>surtout</w:t>
      </w:r>
      <w:r>
        <w:rPr/>
        <w:t xml:space="preserve"> enfant </w:t>
      </w:r>
    </w:p>
    <w:p>
      <w:pPr/>
      <w:r>
        <w:rPr/>
        <w:t>Contamination d’origine familiale</w:t>
      </w:r>
    </w:p>
    <w:p>
      <w:pPr>
        <w:pStyle w:val="Heading4"/>
      </w:pPr>
      <w:r>
        <w:rPr/>
        <w:t>Signes cliniques</w:t>
      </w:r>
    </w:p>
    <w:p>
      <w:pPr>
        <w:pStyle w:val="Heading5"/>
      </w:pPr>
      <w:r>
        <w:rPr/>
        <w:t xml:space="preserve">Signes généraux </w:t>
      </w:r>
    </w:p>
    <w:p>
      <w:pPr/>
      <w:r>
        <w:rPr/>
        <w:t>Fièvre peu élevé ou élevée à 39 – 40 °C</w:t>
      </w:r>
    </w:p>
    <w:p>
      <w:pPr/>
      <w:r>
        <w:rPr/>
        <w:t>Perte de poids</w:t>
      </w:r>
    </w:p>
    <w:p>
      <w:pPr/>
      <w:r>
        <w:rPr/>
        <w:t xml:space="preserve">Asthénie </w:t>
      </w:r>
    </w:p>
    <w:p>
      <w:pPr/>
      <w:r>
        <w:rPr/>
        <w:t>Sueur nocturne</w:t>
      </w:r>
    </w:p>
    <w:p>
      <w:pPr>
        <w:pStyle w:val="Heading5"/>
      </w:pPr>
      <w:r>
        <w:rPr/>
        <w:t>Signes physiques</w:t>
      </w:r>
    </w:p>
    <w:p>
      <w:pPr>
        <w:pStyle w:val="Heading6"/>
      </w:pPr>
      <w:r>
        <w:rPr/>
        <w:t>Signes cutanéomuqueux</w:t>
      </w:r>
      <w:r>
        <w:rPr/>
        <w:t xml:space="preserve"> </w:t>
      </w:r>
    </w:p>
    <w:p>
      <w:pPr/>
      <w:r>
        <w:rPr/>
        <w:t>Inconstants et très évocateur</w:t>
      </w:r>
    </w:p>
    <w:p>
      <w:pPr>
        <w:pStyle w:val="Heading6"/>
      </w:pPr>
      <w:r>
        <w:rPr/>
        <w:t>Erythème noueux</w:t>
      </w:r>
    </w:p>
    <w:p>
      <w:pPr>
        <w:pStyle w:val="Heading7"/>
      </w:pPr>
      <w:r>
        <w:rPr/>
        <w:t xml:space="preserve">Type : </w:t>
      </w:r>
    </w:p>
    <w:p>
      <w:pPr/>
      <w:r>
        <w:rPr/>
        <w:t>Nodule</w:t>
      </w:r>
      <w:r>
        <w:rPr/>
        <w:t xml:space="preserve"> douloureux </w:t>
      </w:r>
      <w:r>
        <w:rPr/>
        <w:t>enchâssé</w:t>
      </w:r>
      <w:r>
        <w:rPr/>
        <w:t xml:space="preserve"> dans la peau (suit stade </w:t>
      </w:r>
      <w:r>
        <w:rPr/>
        <w:t>biligénique</w:t>
      </w:r>
      <w:r>
        <w:rPr/>
        <w:t xml:space="preserve"> locale (rouge, </w:t>
      </w:r>
      <w:r>
        <w:rPr/>
        <w:t>violet</w:t>
      </w:r>
      <w:r>
        <w:rPr/>
        <w:t xml:space="preserve">, </w:t>
      </w:r>
      <w:r>
        <w:rPr/>
        <w:t>jaunâtre</w:t>
      </w:r>
      <w:r>
        <w:rPr/>
        <w:t>, et disparait)</w:t>
      </w:r>
    </w:p>
    <w:p>
      <w:pPr>
        <w:pStyle w:val="Heading7"/>
      </w:pPr>
      <w:r>
        <w:rPr/>
        <w:t xml:space="preserve">Siège : </w:t>
      </w:r>
    </w:p>
    <w:p>
      <w:pPr/>
      <w:r>
        <w:rPr/>
        <w:t>Face postérieure</w:t>
      </w:r>
      <w:r>
        <w:rPr/>
        <w:t xml:space="preserve"> de l’avant-bras</w:t>
      </w:r>
    </w:p>
    <w:p>
      <w:pPr/>
      <w:r>
        <w:rPr/>
        <w:t>Face antérieure</w:t>
      </w:r>
      <w:r>
        <w:rPr/>
        <w:t xml:space="preserve"> de la jambe </w:t>
      </w:r>
    </w:p>
    <w:p>
      <w:pPr/>
      <w:r>
        <w:rPr/>
        <w:t>Front</w:t>
      </w:r>
    </w:p>
    <w:p>
      <w:pPr>
        <w:pStyle w:val="Heading7"/>
      </w:pPr>
      <w:r>
        <w:rPr/>
        <w:t xml:space="preserve">Chronologie </w:t>
      </w:r>
    </w:p>
    <w:p>
      <w:pPr/>
      <w:r>
        <w:rPr/>
        <w:t>En 2 – 3 poussées</w:t>
      </w:r>
    </w:p>
    <w:p>
      <w:pPr/>
      <w:r>
        <w:rPr/>
        <w:t>Au début rouge</w:t>
      </w:r>
    </w:p>
    <w:p>
      <w:pPr/>
      <w:r>
        <w:rPr/>
        <w:t xml:space="preserve">Puis </w:t>
      </w:r>
      <w:r>
        <w:rPr/>
        <w:t>violacés</w:t>
      </w:r>
      <w:r>
        <w:rPr/>
        <w:t xml:space="preserve"> </w:t>
      </w:r>
      <w:r>
        <w:rPr/>
        <w:t>ecchymotique</w:t>
      </w:r>
    </w:p>
    <w:p>
      <w:pPr>
        <w:pStyle w:val="Heading6"/>
      </w:pPr>
      <w:r>
        <w:rPr/>
        <w:t>Kérato-</w:t>
      </w:r>
      <w:r>
        <w:rPr/>
        <w:t>conjonctivite</w:t>
      </w:r>
      <w:r>
        <w:rPr/>
        <w:t xml:space="preserve"> phlycténulaire</w:t>
      </w:r>
    </w:p>
    <w:p>
      <w:pPr/>
      <w:r>
        <w:rPr/>
        <w:t xml:space="preserve">Douleur oculaire </w:t>
      </w:r>
    </w:p>
    <w:p>
      <w:pPr/>
      <w:r>
        <w:rPr/>
        <w:t xml:space="preserve">Irritation </w:t>
      </w:r>
    </w:p>
    <w:p>
      <w:pPr/>
      <w:r>
        <w:rPr/>
        <w:t>Larmoiement</w:t>
      </w:r>
    </w:p>
    <w:p>
      <w:pPr/>
      <w:r>
        <w:rPr/>
        <w:t>Photophobie</w:t>
      </w:r>
    </w:p>
    <w:p>
      <w:pPr/>
      <w:r>
        <w:rPr/>
        <w:t xml:space="preserve">Tâches grises ou jaunes dans région ou </w:t>
      </w:r>
      <w:r>
        <w:rPr/>
        <w:t>cornée</w:t>
      </w:r>
      <w:r>
        <w:rPr/>
        <w:t xml:space="preserve"> rejoint le blanc de l’œil</w:t>
      </w:r>
    </w:p>
    <w:p>
      <w:pPr/>
      <w:r>
        <w:rPr/>
        <w:t>Petits vaisseaux sanguins</w:t>
      </w:r>
      <w:r>
        <w:rPr/>
        <w:t xml:space="preserve"> partent du bord de la </w:t>
      </w:r>
      <w:r>
        <w:rPr/>
        <w:t>conjonctivite</w:t>
      </w:r>
      <w:r>
        <w:rPr/>
        <w:t xml:space="preserve"> pour </w:t>
      </w:r>
      <w:r>
        <w:rPr/>
        <w:t>rejoindre</w:t>
      </w:r>
      <w:r>
        <w:rPr/>
        <w:t xml:space="preserve"> tâches </w:t>
      </w:r>
    </w:p>
    <w:p>
      <w:pPr/>
      <w:r>
        <w:rPr/>
      </w:r>
      <w:r>
        <w:rPr/>
        <w:t xml:space="preserve"> </w:t>
      </w:r>
      <w:r>
        <w:rPr/>
        <w:t>lacis</w:t>
      </w:r>
      <w:r>
        <w:rPr/>
        <w:t xml:space="preserve"> vasculaire conjonctival </w:t>
      </w:r>
    </w:p>
    <w:p>
      <w:pPr>
        <w:pStyle w:val="Heading5"/>
      </w:pPr>
      <w:r>
        <w:rPr/>
        <w:t>Signes radiologiques</w:t>
      </w:r>
    </w:p>
    <w:p>
      <w:pPr>
        <w:pStyle w:val="Heading6"/>
      </w:pPr>
      <w:r>
        <w:rPr/>
        <w:t>Complexe primaire typique</w:t>
      </w:r>
    </w:p>
    <w:p>
      <w:pPr>
        <w:pStyle w:val="Heading7"/>
      </w:pPr>
      <w:r>
        <w:rPr/>
        <w:t xml:space="preserve">Chancre d’inoculation </w:t>
      </w:r>
    </w:p>
    <w:p>
      <w:pPr/>
      <w:r>
        <w:rPr/>
        <w:t xml:space="preserve">Petite opacité </w:t>
      </w:r>
      <w:r>
        <w:rPr/>
        <w:t>nodulaire</w:t>
      </w:r>
    </w:p>
    <w:p>
      <w:pPr/>
      <w:r>
        <w:rPr/>
        <w:t xml:space="preserve">Diamètre 3 – 10 mm </w:t>
      </w:r>
    </w:p>
    <w:p>
      <w:pPr/>
      <w:r>
        <w:rPr/>
        <w:t>Siège : lobe supérieur, segment de Fowler</w:t>
      </w:r>
    </w:p>
    <w:p>
      <w:pPr/>
      <w:r>
        <w:rPr/>
        <w:t>Noyée dans opacité moins dense à bords flou</w:t>
      </w:r>
    </w:p>
    <w:p>
      <w:pPr>
        <w:pStyle w:val="Heading7"/>
      </w:pPr>
      <w:r>
        <w:rPr/>
        <w:t xml:space="preserve">Adénopathies </w:t>
      </w:r>
      <w:r>
        <w:rPr/>
        <w:t>médiastinales</w:t>
      </w:r>
      <w:r>
        <w:rPr/>
        <w:t xml:space="preserve"> satellites</w:t>
      </w:r>
    </w:p>
    <w:p>
      <w:pPr/>
      <w:r>
        <w:rPr/>
        <w:t>Opacité</w:t>
      </w:r>
      <w:r>
        <w:rPr/>
        <w:t xml:space="preserve"> arrondie ou ovalaire</w:t>
      </w:r>
    </w:p>
    <w:p>
      <w:pPr/>
      <w:r>
        <w:rPr/>
        <w:t>Siège</w:t>
      </w:r>
      <w:r>
        <w:rPr/>
        <w:t xml:space="preserve"> :</w:t>
      </w:r>
      <w:r>
        <w:rPr/>
        <w:tab/>
      </w:r>
    </w:p>
    <w:p>
      <w:pPr/>
      <w:r>
        <w:rPr/>
        <w:t>Latéro</w:t>
      </w:r>
      <w:r>
        <w:rPr/>
        <w:t>-trachéale</w:t>
      </w:r>
    </w:p>
    <w:p>
      <w:pPr/>
      <w:r>
        <w:rPr/>
        <w:t>Hilaires, médiastin moyen</w:t>
      </w:r>
    </w:p>
    <w:p>
      <w:pPr/>
    </w:p>
    <w:p>
      <w:pPr/>
      <w:r>
        <w:rPr/>
        <w:t xml:space="preserve">Tailles : +/- volumineuses </w:t>
      </w:r>
    </w:p>
    <w:p>
      <w:pPr/>
      <w:r>
        <w:rPr/>
        <w:t>Calcifications fréquentes</w:t>
      </w:r>
    </w:p>
    <w:p>
      <w:pPr>
        <w:pStyle w:val="Heading7"/>
      </w:pPr>
      <w:r>
        <w:rPr/>
        <w:t>Adénopathies médiastinales isolées :</w:t>
      </w:r>
    </w:p>
    <w:p>
      <w:pPr/>
      <w:r>
        <w:rPr/>
        <w:t>Troubles de la ventilation</w:t>
      </w:r>
    </w:p>
    <w:p>
      <w:pPr/>
      <w:r>
        <w:rPr/>
        <w:t xml:space="preserve">Compression bronchique par adénopathie </w:t>
      </w:r>
    </w:p>
    <w:p>
      <w:pPr/>
      <w:r>
        <w:rPr/>
        <w:t>Opacité systématique à bord rectilignes</w:t>
      </w:r>
    </w:p>
    <w:p>
      <w:pPr/>
    </w:p>
    <w:p>
      <w:pPr/>
      <w:r>
        <w:rPr/>
        <w:t>Foyer d’alvéolite avec risques d’excavations</w:t>
      </w:r>
    </w:p>
    <w:p>
      <w:pPr/>
      <w:r>
        <w:rPr/>
        <w:t>Epanchement pleural</w:t>
      </w:r>
    </w:p>
    <w:p>
      <w:pPr>
        <w:pStyle w:val="Heading6"/>
      </w:pPr>
      <w:r>
        <w:rPr/>
        <w:t>IDR à la tuberculose</w:t>
      </w:r>
    </w:p>
    <w:p>
      <w:pPr/>
      <w:r>
        <w:rPr/>
        <w:t xml:space="preserve">Virage récent </w:t>
      </w:r>
    </w:p>
    <w:p>
      <w:pPr>
        <w:pStyle w:val="Heading6"/>
      </w:pPr>
      <w:r>
        <w:rPr/>
        <w:t>Rechercher</w:t>
      </w:r>
      <w:r>
        <w:rPr/>
        <w:t xml:space="preserve"> de BK</w:t>
      </w:r>
    </w:p>
    <w:p>
      <w:pPr/>
      <w:r>
        <w:rPr/>
        <w:t xml:space="preserve">Dans </w:t>
      </w:r>
      <w:r>
        <w:rPr/>
        <w:t>expectoration</w:t>
      </w:r>
      <w:r>
        <w:rPr/>
        <w:t>, tubage gastrique</w:t>
      </w:r>
    </w:p>
    <w:p>
      <w:pPr>
        <w:pStyle w:val="Heading2"/>
      </w:pPr>
      <w:r>
        <w:rPr/>
        <w:t>Evolution</w:t>
      </w:r>
      <w:r>
        <w:rPr/>
        <w:t xml:space="preserve"> </w:t>
      </w:r>
    </w:p>
    <w:p>
      <w:pPr/>
      <w:r>
        <w:rPr/>
        <w:t>Favorable même sans traitement</w:t>
      </w:r>
    </w:p>
    <w:p>
      <w:pPr/>
      <w:r>
        <w:rPr/>
        <w:t>Disparition lésion sans séquelles</w:t>
      </w:r>
    </w:p>
    <w:p>
      <w:pPr/>
      <w:r>
        <w:rPr/>
        <w:t>Calcification lésions</w:t>
      </w:r>
    </w:p>
    <w:p>
      <w:pPr/>
      <w:r>
        <w:rPr/>
        <w:t>Complication possible</w:t>
      </w:r>
    </w:p>
    <w:p>
      <w:pPr>
        <w:pStyle w:val="Heading2"/>
      </w:pPr>
      <w:r>
        <w:rPr/>
        <w:t>Complications</w:t>
      </w:r>
    </w:p>
    <w:p>
      <w:pPr>
        <w:pStyle w:val="Heading3"/>
      </w:pPr>
      <w:r>
        <w:rPr/>
        <w:t xml:space="preserve">Fistulisation adénopathie dans bronches </w:t>
      </w:r>
    </w:p>
    <w:p>
      <w:pPr/>
      <w:r>
        <w:rPr/>
        <w:t xml:space="preserve">Augmentation de volume et </w:t>
      </w:r>
      <w:r>
        <w:rPr/>
        <w:t>ramollissement</w:t>
      </w:r>
      <w:r>
        <w:rPr/>
        <w:t xml:space="preserve"> adénopathie </w:t>
      </w:r>
    </w:p>
    <w:p>
      <w:pPr/>
      <w:r>
        <w:rPr/>
        <w:t>Fistulisation adénopathie dans les bronches</w:t>
      </w:r>
    </w:p>
    <w:p>
      <w:pPr/>
      <w:r>
        <w:rPr/>
        <w:t>Entre le 4</w:t>
      </w:r>
      <w:r>
        <w:rPr/>
        <w:t>ème</w:t>
      </w:r>
      <w:r>
        <w:rPr/>
        <w:t xml:space="preserve"> et 7</w:t>
      </w:r>
      <w:r>
        <w:rPr/>
        <w:t>ème</w:t>
      </w:r>
      <w:r>
        <w:rPr/>
        <w:t xml:space="preserve"> mois d’évolution </w:t>
      </w:r>
    </w:p>
    <w:p>
      <w:pPr>
        <w:pStyle w:val="Heading3"/>
      </w:pPr>
      <w:r>
        <w:rPr/>
        <w:t>Caverne tuber</w:t>
      </w:r>
      <w:r>
        <w:rPr/>
        <w:t>cu</w:t>
      </w:r>
      <w:r>
        <w:rPr/>
        <w:t xml:space="preserve">leuse primaire </w:t>
      </w:r>
    </w:p>
    <w:p>
      <w:pPr/>
      <w:r>
        <w:rPr/>
        <w:t>Complication rare</w:t>
      </w:r>
    </w:p>
    <w:p>
      <w:pPr/>
      <w:r>
        <w:rPr/>
        <w:t>Caverne</w:t>
      </w:r>
      <w:r>
        <w:rPr/>
        <w:t xml:space="preserve"> au niveau …</w:t>
      </w:r>
    </w:p>
    <w:p>
      <w:pPr>
        <w:pStyle w:val="Heading3"/>
      </w:pPr>
      <w:r>
        <w:rPr/>
        <w:t xml:space="preserve">Séquelles </w:t>
      </w:r>
    </w:p>
    <w:p>
      <w:pPr>
        <w:pStyle w:val="Heading4"/>
      </w:pPr>
      <w:r>
        <w:rPr/>
        <w:t xml:space="preserve">Compression bronche lobaire ou </w:t>
      </w:r>
      <w:r>
        <w:rPr/>
        <w:t>segmentaire</w:t>
      </w:r>
    </w:p>
    <w:p>
      <w:pPr/>
      <w:r>
        <w:rPr/>
        <w:t>Troubles de ventilation : atélectasie</w:t>
      </w:r>
    </w:p>
    <w:p>
      <w:pPr/>
      <w:r>
        <w:rPr/>
        <w:t>Bronchotomie</w:t>
      </w:r>
    </w:p>
    <w:p>
      <w:pPr>
        <w:pStyle w:val="Heading4"/>
      </w:pPr>
      <w:r>
        <w:rPr/>
        <w:t>Bronchectasie</w:t>
      </w:r>
      <w:r>
        <w:rPr/>
        <w:t xml:space="preserve"> sur zone pulmonaire mal ventilée </w:t>
      </w:r>
    </w:p>
    <w:p>
      <w:pPr/>
      <w:r>
        <w:rPr/>
        <w:t xml:space="preserve">Surinfection bronchique </w:t>
      </w:r>
    </w:p>
    <w:p>
      <w:pPr/>
      <w:r>
        <w:rPr/>
        <w:t>Hémoptysies récidives</w:t>
      </w:r>
    </w:p>
    <w:p>
      <w:pPr>
        <w:pStyle w:val="Heading3"/>
      </w:pPr>
      <w:r>
        <w:rPr/>
        <w:t>Maladie du hile</w:t>
      </w:r>
    </w:p>
    <w:p>
      <w:pPr/>
      <w:r>
        <w:rPr/>
        <w:t xml:space="preserve">« </w:t>
      </w:r>
      <w:r>
        <w:rPr/>
        <w:t>sd</w:t>
      </w:r>
      <w:r>
        <w:rPr/>
        <w:t xml:space="preserve"> du lobe moyen » ou « sd de Brock »</w:t>
      </w:r>
    </w:p>
    <w:p>
      <w:pPr/>
      <w:r>
        <w:rPr/>
        <w:t xml:space="preserve">Atélectasie </w:t>
      </w:r>
    </w:p>
    <w:p>
      <w:pPr/>
      <w:r>
        <w:rPr/>
        <w:t>Bronchectasie</w:t>
      </w:r>
    </w:p>
    <w:p>
      <w:pPr/>
      <w:r>
        <w:rPr/>
        <w:t xml:space="preserve">Calcification hilaire </w:t>
      </w:r>
    </w:p>
    <w:p>
      <w:pPr/>
      <w:r>
        <w:rPr/>
        <w:t>Hémoptysie récidivante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