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Trouble anxieux généralisé (TAG)</w:t>
      </w:r>
    </w:p>
    <w:p>
      <w:pPr>
        <w:pStyle w:val="Heading2"/>
      </w:pPr>
      <w:r>
        <w:rPr/>
        <w:t xml:space="preserve">Généralités </w:t>
      </w:r>
    </w:p>
    <w:p>
      <w:pPr/>
      <w:r>
        <w:rPr/>
        <w:t xml:space="preserve">Les phénomènes anxieux sont </w:t>
      </w:r>
      <w:r>
        <w:rPr/>
        <w:t>considérés</w:t>
      </w:r>
      <w:r>
        <w:rPr/>
        <w:t xml:space="preserve"> comme normaux au cours du développement de la personnalité</w:t>
      </w:r>
    </w:p>
    <w:p>
      <w:pPr/>
      <w:r>
        <w:rPr/>
        <w:t xml:space="preserve">Angoisse (ou anxiété) comme </w:t>
      </w:r>
      <w:r>
        <w:rPr/>
        <w:t>hyprevigilance</w:t>
      </w:r>
      <w:r>
        <w:rPr/>
        <w:t xml:space="preserve"> douloureuse, sensation pénible de danger et de peur sans objet, c’est-à-dire sans rapport direct avec une sensation actuelle objectivement dangereuse</w:t>
      </w:r>
    </w:p>
    <w:p>
      <w:pPr/>
      <w:r>
        <w:rPr/>
        <w:t xml:space="preserve">L’anxiété n’est pas en soi un phénomène pathologique, elle le devient par son caractère répétitif, anachronique, invalidante </w:t>
      </w:r>
    </w:p>
    <w:p>
      <w:pPr/>
      <w:r>
        <w:rPr/>
        <w:t xml:space="preserve">On ne parle d’anxiété pathologique que si une souffrance est cliniquement significative, entrainant un handicap socioprofessionnel et affectif </w:t>
      </w:r>
    </w:p>
    <w:p>
      <w:pPr>
        <w:pStyle w:val="Heading2"/>
      </w:pPr>
      <w:r>
        <w:rPr/>
        <w:t>Définition</w:t>
      </w:r>
    </w:p>
    <w:p>
      <w:pPr/>
      <w:r>
        <w:rPr/>
        <w:t xml:space="preserve">Un sentiment pénible d’attente, une crainte d’un danger imprécis, un sentiment d’insécurité indéfinissable </w:t>
      </w:r>
    </w:p>
    <w:p>
      <w:pPr/>
      <w:r>
        <w:rPr/>
        <w:t xml:space="preserve">On distingue deux troubles majeurs </w:t>
      </w:r>
    </w:p>
    <w:p>
      <w:pPr/>
      <w:r>
        <w:rPr/>
        <w:t>Trouble ou attaque de panique</w:t>
      </w:r>
    </w:p>
    <w:p>
      <w:pPr/>
      <w:r>
        <w:rPr/>
        <w:t>Trouble anxieux généralisé (T.AG.)</w:t>
      </w:r>
    </w:p>
    <w:p>
      <w:pPr>
        <w:pStyle w:val="Heading2"/>
      </w:pPr>
      <w:r>
        <w:rPr/>
        <w:t>Définition</w:t>
      </w:r>
    </w:p>
    <w:p>
      <w:pPr/>
      <w:r>
        <w:rPr/>
        <w:t xml:space="preserve">C’est la « névrose d’angoisse » implique la coexistence </w:t>
      </w:r>
    </w:p>
    <w:p>
      <w:pPr/>
      <w:r>
        <w:rPr/>
        <w:t>D’une personnalité pré morbide de type « anxieuse</w:t>
      </w:r>
      <w:r>
        <w:rPr/>
        <w:t xml:space="preserve"> </w:t>
      </w:r>
      <w:r>
        <w:rPr/>
        <w:t xml:space="preserve">ou </w:t>
      </w:r>
      <w:r>
        <w:rPr/>
        <w:t>psychosthène</w:t>
      </w:r>
      <w:r>
        <w:rPr/>
        <w:t xml:space="preserve"> »</w:t>
      </w:r>
    </w:p>
    <w:p>
      <w:pPr/>
      <w:r>
        <w:rPr/>
        <w:t>Et de symptôme anxieux physique et psychiques perçus par le sujet come anormaux, à l’origine d’une souffrance psychique et l’amenant à demander des soins</w:t>
      </w:r>
    </w:p>
    <w:p>
      <w:pPr/>
    </w:p>
    <w:p>
      <w:pPr/>
      <w:r>
        <w:rPr/>
        <w:t>C’es</w:t>
      </w:r>
      <w:r>
        <w:rPr/>
        <w:t>t</w:t>
      </w:r>
      <w:r>
        <w:rPr/>
        <w:t xml:space="preserve"> un état d’angoisse chronique, d’évolution supérieur à 6 mois</w:t>
      </w:r>
    </w:p>
    <w:p>
      <w:pPr>
        <w:pStyle w:val="Heading2"/>
      </w:pPr>
      <w:r>
        <w:rPr/>
        <w:t>Epidémiologie</w:t>
      </w:r>
      <w:r>
        <w:rPr/>
        <w:t xml:space="preserve"> </w:t>
      </w:r>
    </w:p>
    <w:p>
      <w:pPr/>
      <w:r>
        <w:rPr/>
        <w:t xml:space="preserve">Prévalence estimée entre 5 – 10% sur un an et serai de 40% sur </w:t>
      </w:r>
      <w:r>
        <w:rPr/>
        <w:t>la vie entière</w:t>
      </w:r>
      <w:r>
        <w:rPr/>
        <w:t xml:space="preserve"> </w:t>
      </w:r>
    </w:p>
    <w:p>
      <w:pPr/>
      <w:r>
        <w:rPr/>
        <w:t>Les comorbidités</w:t>
      </w:r>
      <w:r>
        <w:rPr/>
        <w:t xml:space="preserve"> sont fréquente (50 – 90%) notamment avec la phobie social, trouble</w:t>
      </w:r>
      <w:r>
        <w:rPr/>
        <w:t xml:space="preserve"> </w:t>
      </w:r>
      <w:r>
        <w:rPr/>
        <w:t>panique ou trouble dépressif</w:t>
      </w:r>
    </w:p>
    <w:p>
      <w:pPr/>
      <w:r>
        <w:rPr/>
        <w:t>Prédominance féminine avec ses ratio de 1 / 2</w:t>
      </w:r>
    </w:p>
    <w:p>
      <w:pPr>
        <w:pStyle w:val="Heading2"/>
      </w:pPr>
      <w:r>
        <w:rPr/>
        <w:t>Sémiologie</w:t>
      </w:r>
      <w:r>
        <w:rPr/>
        <w:t xml:space="preserve"> </w:t>
      </w:r>
    </w:p>
    <w:p>
      <w:pPr/>
      <w:r>
        <w:rPr/>
        <w:t xml:space="preserve">Psychique : (sensation de tension interne, de malaise, de soucie excessif pour </w:t>
      </w:r>
      <w:r>
        <w:rPr/>
        <w:t>l</w:t>
      </w:r>
      <w:r>
        <w:rPr/>
        <w:t xml:space="preserve"> moindre choses)</w:t>
      </w:r>
    </w:p>
    <w:p>
      <w:pPr/>
      <w:r>
        <w:rPr/>
        <w:t xml:space="preserve">Digestifs : accélération du transit, nausées, ballonnement, douleur abdominales </w:t>
      </w:r>
    </w:p>
    <w:p>
      <w:pPr/>
      <w:r>
        <w:rPr/>
        <w:t xml:space="preserve">Urinaire : pollakiurie </w:t>
      </w:r>
    </w:p>
    <w:p>
      <w:pPr/>
      <w:r>
        <w:rPr/>
        <w:t>Autres : tremblement des doigts, bouffée de chaleur, palpitation</w:t>
      </w:r>
      <w:r>
        <w:rPr/>
        <w:t>,</w:t>
      </w:r>
      <w:r>
        <w:rPr/>
        <w:t xml:space="preserve"> gêne respiratoire</w:t>
      </w:r>
      <w:r>
        <w:rPr/>
        <w:t xml:space="preserve"> </w:t>
      </w:r>
      <w:r>
        <w:rPr/>
        <w:t>excessive</w:t>
      </w:r>
      <w:r>
        <w:rPr/>
        <w:t>,</w:t>
      </w:r>
      <w:r>
        <w:rPr/>
        <w:t xml:space="preserve"> sensation de « tête vide »</w:t>
      </w:r>
    </w:p>
    <w:p>
      <w:pPr>
        <w:pStyle w:val="Heading2"/>
      </w:pPr>
      <w:r>
        <w:rPr/>
        <w:t>Evolution</w:t>
      </w:r>
    </w:p>
    <w:p>
      <w:pPr/>
      <w:r>
        <w:rPr/>
        <w:t>Risques évolutifs vers un trouble panique dans</w:t>
      </w:r>
      <w:r>
        <w:rPr/>
        <w:t xml:space="preserve"> </w:t>
      </w:r>
      <w:r>
        <w:rPr/>
        <w:t>25% des cas ou vers un trouble dépressif de l’humeur</w:t>
      </w:r>
    </w:p>
    <w:p>
      <w:pPr/>
      <w:r>
        <w:rPr/>
        <w:t>Dépendances à un produit psychoactif : drogues alcool, cannabis, …</w:t>
      </w:r>
    </w:p>
    <w:p>
      <w:pPr/>
      <w:r>
        <w:rPr/>
        <w:t>Evolution de la maladie est difficile à prévoir, pouvant durer tout la vie du sujet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Médicament</w:t>
      </w:r>
    </w:p>
    <w:p>
      <w:pPr/>
      <w:r>
        <w:rPr/>
        <w:t xml:space="preserve">Le traitement symptomatique fait appel </w:t>
      </w:r>
      <w:r>
        <w:rPr/>
        <w:t>aux anxiolytiques</w:t>
      </w:r>
      <w:r>
        <w:rPr/>
        <w:t xml:space="preserve"> appartenant </w:t>
      </w:r>
      <w:r>
        <w:rPr/>
        <w:t>aux</w:t>
      </w:r>
      <w:r>
        <w:rPr/>
        <w:t xml:space="preserve"> groupes pharmacologique</w:t>
      </w:r>
      <w:r>
        <w:rPr/>
        <w:t xml:space="preserve"> suivant : </w:t>
      </w:r>
      <w:r>
        <w:rPr/>
        <w:tab/>
      </w:r>
    </w:p>
    <w:p>
      <w:pPr/>
      <w:r>
        <w:rPr/>
        <w:t>Benzodiapines</w:t>
      </w:r>
      <w:r>
        <w:rPr/>
        <w:t xml:space="preserve"> </w:t>
      </w:r>
    </w:p>
    <w:p>
      <w:pPr/>
      <w:r>
        <w:rPr/>
        <w:t>Antihisminique</w:t>
      </w:r>
      <w:r>
        <w:rPr/>
        <w:t xml:space="preserve"> </w:t>
      </w:r>
    </w:p>
    <w:p>
      <w:pPr/>
      <w:r>
        <w:rPr/>
        <w:t xml:space="preserve">Aux inhibiteur spécifique de la recapture de la sérotonine et / ou de la noradrénaline </w:t>
      </w:r>
    </w:p>
    <w:p>
      <w:pPr>
        <w:pStyle w:val="Heading3"/>
      </w:pPr>
      <w:r>
        <w:rPr/>
        <w:t>Non médicamenteux</w:t>
      </w:r>
      <w:r>
        <w:rPr/>
        <w:t xml:space="preserve"> </w:t>
      </w:r>
    </w:p>
    <w:p>
      <w:pPr/>
      <w:r>
        <w:rPr/>
        <w:t xml:space="preserve">Thérapie </w:t>
      </w:r>
      <w:r>
        <w:rPr/>
        <w:t>cognitivo</w:t>
      </w:r>
      <w:r>
        <w:rPr/>
        <w:t>–comportement consiste à cible le symptôme « angoisse » et à rééduquer » la façon de peser et de gérer l’anxiété. Divers type prise en charge son proposées</w:t>
      </w:r>
      <w:r>
        <w:rPr/>
        <w:t>,</w:t>
      </w:r>
      <w:r>
        <w:rPr/>
        <w:t xml:space="preserve"> dont les thérapies de relaxation</w:t>
      </w:r>
    </w:p>
    <w:p>
      <w:pPr/>
      <w:r>
        <w:rPr/>
        <w:t>Dans de tous les cas</w:t>
      </w:r>
      <w:r>
        <w:rPr/>
        <w:t xml:space="preserve"> :</w:t>
      </w:r>
    </w:p>
    <w:p>
      <w:pPr/>
      <w:r>
        <w:rPr/>
        <w:t>Psychothérapie de soutien et éducation (symptôme de rechute</w:t>
      </w:r>
      <w:r>
        <w:rPr/>
        <w:t>,</w:t>
      </w:r>
      <w:r>
        <w:rPr/>
        <w:t xml:space="preserve"> gestion du traitement et gestion des effets secondaires)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