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Trouble ou attaque de panique</w:t>
      </w:r>
    </w:p>
    <w:p>
      <w:pPr>
        <w:pStyle w:val="Heading2"/>
      </w:pPr>
      <w:r>
        <w:rPr/>
        <w:t>Définition</w:t>
      </w:r>
      <w:r>
        <w:rPr/>
        <w:t xml:space="preserve"> </w:t>
      </w:r>
    </w:p>
    <w:p>
      <w:pPr/>
      <w:r>
        <w:rPr/>
        <w:t>Le trouble panique à proprement parler consiste en la répétition d’attaque</w:t>
      </w:r>
      <w:r>
        <w:rPr/>
        <w:t xml:space="preserve"> </w:t>
      </w:r>
      <w:r>
        <w:rPr/>
        <w:t>de panique et l’appréhension anxie</w:t>
      </w:r>
      <w:r>
        <w:rPr/>
        <w:t xml:space="preserve">use (anxiété anticipatoire) de </w:t>
      </w:r>
      <w:r>
        <w:rPr/>
        <w:t xml:space="preserve">leur survenu </w:t>
      </w:r>
    </w:p>
    <w:p>
      <w:pPr/>
      <w:r>
        <w:rPr/>
        <w:t xml:space="preserve">Entrainant une souffrance morale et ayant des répercussions </w:t>
      </w:r>
      <w:r>
        <w:rPr/>
        <w:t>socioprofessionnelles préjudiciables</w:t>
      </w:r>
      <w:r>
        <w:rPr/>
        <w:t xml:space="preserve"> (isolement, perte d’emploi)</w:t>
      </w:r>
    </w:p>
    <w:p>
      <w:pPr>
        <w:pStyle w:val="Heading2"/>
      </w:pPr>
      <w:r>
        <w:rPr/>
        <w:t>Description clinique</w:t>
      </w:r>
      <w:r>
        <w:rPr/>
        <w:t xml:space="preserve"> </w:t>
      </w:r>
    </w:p>
    <w:p>
      <w:pPr/>
      <w:r>
        <w:rPr/>
        <w:t>Survenue brutale</w:t>
      </w:r>
    </w:p>
    <w:p>
      <w:pPr/>
      <w:r>
        <w:rPr/>
        <w:t>Souvent en fin de nuit ou en phase nocturne</w:t>
      </w:r>
    </w:p>
    <w:p>
      <w:pPr/>
      <w:r>
        <w:rPr/>
        <w:t xml:space="preserve">Sans facteur déclenchant </w:t>
      </w:r>
    </w:p>
    <w:p>
      <w:pPr/>
      <w:r>
        <w:rPr/>
        <w:t xml:space="preserve">Symptômes physique </w:t>
      </w:r>
    </w:p>
    <w:p>
      <w:pPr/>
      <w:r>
        <w:rPr/>
        <w:t>La répétition es crises avec une certaine fréquence définit « le trouble panique »</w:t>
      </w:r>
    </w:p>
    <w:p>
      <w:pPr/>
      <w:r>
        <w:rPr/>
        <w:t>Evolue vers une agoraphobie</w:t>
      </w:r>
    </w:p>
    <w:p>
      <w:pPr>
        <w:pStyle w:val="Heading3"/>
      </w:pPr>
      <w:r>
        <w:rPr/>
        <w:t>Symptôme physique</w:t>
      </w:r>
      <w:r>
        <w:rPr/>
        <w:t xml:space="preserve"> </w:t>
      </w:r>
    </w:p>
    <w:p>
      <w:pPr/>
      <w:r>
        <w:rPr/>
        <w:t xml:space="preserve">Pâleur et transpiration abondante </w:t>
      </w:r>
    </w:p>
    <w:p>
      <w:pPr/>
      <w:r>
        <w:rPr/>
        <w:t xml:space="preserve">Tachycardie </w:t>
      </w:r>
    </w:p>
    <w:p>
      <w:pPr/>
      <w:r>
        <w:rPr/>
        <w:t xml:space="preserve">Tachycardie </w:t>
      </w:r>
    </w:p>
    <w:p>
      <w:pPr/>
      <w:r>
        <w:rPr/>
        <w:t xml:space="preserve">Elévation e la pression artérielle (surtout diastolique) </w:t>
      </w:r>
    </w:p>
    <w:p>
      <w:pPr/>
      <w:r>
        <w:rPr/>
        <w:t xml:space="preserve">Tremblements </w:t>
      </w:r>
    </w:p>
    <w:p>
      <w:pPr/>
      <w:r>
        <w:rPr/>
        <w:t>Posture recroquevillée (replié sur soi)</w:t>
      </w:r>
    </w:p>
    <w:p>
      <w:pPr/>
      <w:r>
        <w:rPr/>
        <w:t>Mydriase bilatérale réactive</w:t>
      </w:r>
    </w:p>
    <w:p>
      <w:pPr/>
      <w:r>
        <w:rPr/>
        <w:t xml:space="preserve">Douleur diffuses </w:t>
      </w:r>
    </w:p>
    <w:p>
      <w:pPr/>
      <w:r>
        <w:rPr/>
        <w:t xml:space="preserve">Accélération du transit intestinale </w:t>
      </w:r>
    </w:p>
    <w:p>
      <w:pPr/>
      <w:r>
        <w:rPr/>
        <w:t>Envie d’uriner fréquente ou au contraire</w:t>
      </w:r>
      <w:r>
        <w:rPr/>
        <w:t xml:space="preserve"> </w:t>
      </w:r>
      <w:r>
        <w:rPr/>
        <w:t>rétention aiguë d’urines</w:t>
      </w:r>
    </w:p>
    <w:p>
      <w:pPr>
        <w:pStyle w:val="Heading3"/>
      </w:pPr>
      <w:r>
        <w:rPr/>
        <w:t>Symptômes psychiques</w:t>
      </w:r>
    </w:p>
    <w:p>
      <w:pPr/>
      <w:r>
        <w:rPr/>
        <w:t>Peur de devenir fou</w:t>
      </w:r>
    </w:p>
    <w:p>
      <w:pPr/>
      <w:r>
        <w:rPr/>
        <w:t xml:space="preserve">Sentiment de mort imminente </w:t>
      </w:r>
    </w:p>
    <w:p>
      <w:pPr/>
      <w:r>
        <w:rPr/>
        <w:t>Sentiment de déréalisation : (sentiment d’étrangeté du monde en absence de tout phénomène hallucinatoire ou illusion)</w:t>
      </w:r>
    </w:p>
    <w:p>
      <w:pPr/>
      <w:r>
        <w:rPr/>
        <w:t>Sentiment de de dépersonnalisation : (altération et d’avoir un corps, altération d’être une personne ayant une identité)</w:t>
      </w:r>
    </w:p>
    <w:p>
      <w:pPr/>
      <w:r>
        <w:rPr/>
        <w:t>Sentiment de boule dans le gorge, de constriction thoracique ou aire gastrique</w:t>
      </w:r>
    </w:p>
    <w:p>
      <w:pPr/>
      <w:r>
        <w:rPr/>
        <w:t>La répétition des crises avec une certaines fréquence définie : » le trouble panique »</w:t>
      </w:r>
    </w:p>
    <w:p>
      <w:pPr/>
      <w:r>
        <w:rPr/>
        <w:t>Evolue vers une agoraphobie (peur de se retrouver seul ou dans des endroits publics : foule, transport en commun, tunnel, …)</w:t>
      </w:r>
    </w:p>
    <w:p>
      <w:pPr>
        <w:pStyle w:val="Heading2"/>
      </w:pPr>
      <w:r>
        <w:rPr/>
        <w:t>Diagnostic différentiel</w:t>
      </w:r>
    </w:p>
    <w:p>
      <w:pPr/>
      <w:r>
        <w:rPr/>
        <w:t>Urgence médicale</w:t>
      </w:r>
      <w:r>
        <w:rPr/>
        <w:t xml:space="preserve"> cardio respiratoire : infarctus du myocarde, angor, crise d’asthme, embolie pulmonaire </w:t>
      </w:r>
    </w:p>
    <w:p>
      <w:pPr/>
      <w:r>
        <w:rPr/>
        <w:t xml:space="preserve">Neurologique : épilepsie temporale </w:t>
      </w:r>
    </w:p>
    <w:p>
      <w:pPr/>
      <w:r>
        <w:rPr/>
        <w:t xml:space="preserve">Douleur abdominale : douleur appendiculaire, colique néphrétique </w:t>
      </w:r>
    </w:p>
    <w:p>
      <w:pPr/>
      <w:r>
        <w:rPr/>
        <w:t xml:space="preserve">Bouffée délirante aigue : délirant </w:t>
      </w:r>
    </w:p>
    <w:p>
      <w:pPr/>
      <w:r>
        <w:rPr/>
        <w:t xml:space="preserve">Névrose phobique : il y a un objet phobogène </w:t>
      </w:r>
    </w:p>
    <w:p>
      <w:pPr/>
      <w:r>
        <w:rPr/>
        <w:t>Sevrage : tremblement des extrémités</w:t>
      </w:r>
    </w:p>
    <w:p>
      <w:pPr/>
      <w:r>
        <w:rPr/>
        <w:t xml:space="preserve">Pise de toxique </w:t>
      </w:r>
    </w:p>
    <w:p>
      <w:pPr/>
      <w:r>
        <w:rPr/>
        <w:t>La peur : qui est une réaction de fuite devant une situation actuelle objectivement dangereuse</w:t>
      </w:r>
    </w:p>
    <w:p>
      <w:pPr/>
      <w:r>
        <w:rPr/>
        <w:t>Notion de stress, qui caractérise un processus réacti</w:t>
      </w:r>
      <w:r>
        <w:rPr/>
        <w:t xml:space="preserve">onnel interne évaluant en </w:t>
      </w:r>
      <w:r>
        <w:rPr/>
        <w:t>tr</w:t>
      </w:r>
      <w:r>
        <w:rPr/>
        <w:t>oi</w:t>
      </w:r>
      <w:r>
        <w:rPr/>
        <w:t>s phases</w:t>
      </w:r>
      <w:r>
        <w:rPr/>
        <w:t xml:space="preserve"> :</w:t>
      </w:r>
    </w:p>
    <w:p>
      <w:pPr/>
      <w:r>
        <w:rPr/>
        <w:t>Phase d’alarme</w:t>
      </w:r>
      <w:r>
        <w:rPr/>
        <w:t xml:space="preserve"> ;</w:t>
      </w:r>
    </w:p>
    <w:p>
      <w:pPr/>
      <w:r>
        <w:rPr/>
        <w:t>Phase de lutte</w:t>
      </w:r>
      <w:r>
        <w:rPr/>
        <w:t xml:space="preserve"> ;</w:t>
      </w:r>
    </w:p>
    <w:p>
      <w:pPr/>
      <w:r>
        <w:rPr/>
        <w:t>Phase d’épuisement en réponse à une situation objectivement stressante</w:t>
      </w:r>
    </w:p>
    <w:p>
      <w:pPr>
        <w:pStyle w:val="Heading2"/>
      </w:pPr>
      <w:r>
        <w:rPr/>
        <w:t>Examen paraclinique</w:t>
      </w:r>
    </w:p>
    <w:p>
      <w:pPr/>
      <w:r>
        <w:rPr/>
        <w:t>Bilan sanguin : glycémie</w:t>
      </w:r>
      <w:r>
        <w:rPr/>
        <w:t>,</w:t>
      </w:r>
      <w:r>
        <w:rPr/>
        <w:t xml:space="preserve"> transaminase</w:t>
      </w:r>
      <w:r>
        <w:rPr/>
        <w:t>,</w:t>
      </w:r>
      <w:r>
        <w:rPr/>
        <w:t xml:space="preserve"> LDH, CPK, AVM (acide </w:t>
      </w:r>
      <w:r>
        <w:rPr/>
        <w:t>vynil</w:t>
      </w:r>
      <w:r>
        <w:rPr/>
        <w:t xml:space="preserve"> </w:t>
      </w:r>
      <w:r>
        <w:rPr/>
        <w:t>mandelique</w:t>
      </w:r>
      <w:r>
        <w:rPr/>
        <w:t>), troponine, créatininémie, azotémie</w:t>
      </w:r>
      <w:r>
        <w:rPr/>
        <w:t>,</w:t>
      </w:r>
      <w:r>
        <w:rPr/>
        <w:t xml:space="preserve"> ionogramme</w:t>
      </w:r>
      <w:r>
        <w:rPr/>
        <w:t>,</w:t>
      </w:r>
      <w:r>
        <w:rPr/>
        <w:t xml:space="preserve"> uricémie</w:t>
      </w:r>
      <w:r>
        <w:rPr/>
        <w:t>,</w:t>
      </w:r>
      <w:r>
        <w:rPr/>
        <w:t xml:space="preserve"> T3, T4, TSH</w:t>
      </w:r>
    </w:p>
    <w:p>
      <w:pPr/>
      <w:r>
        <w:rPr/>
        <w:t xml:space="preserve">Bilan fonctionnel : ECG, EEG, échographie abdominale, et cardiaque, écho doppler </w:t>
      </w:r>
    </w:p>
    <w:p>
      <w:pPr/>
      <w:r>
        <w:rPr/>
        <w:t>Bilan morphologique : scanner cérébrale, radiographie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>
        <w:pStyle w:val="Heading3"/>
      </w:pPr>
      <w:r>
        <w:rPr/>
        <w:t>Pharmacologie</w:t>
      </w:r>
    </w:p>
    <w:p>
      <w:pPr/>
      <w:r>
        <w:rPr/>
        <w:t>Symptôme de la crise</w:t>
      </w:r>
      <w:r>
        <w:rPr/>
        <w:t xml:space="preserve"> :</w:t>
      </w:r>
    </w:p>
    <w:p>
      <w:pPr/>
      <w:r>
        <w:rPr/>
        <w:t>Benzodiazépin</w:t>
      </w:r>
      <w:r>
        <w:rPr/>
        <w:t>e (posologie efficace,</w:t>
      </w:r>
      <w:r>
        <w:rPr/>
        <w:t xml:space="preserve"> </w:t>
      </w:r>
      <w:r>
        <w:rPr/>
        <w:t>monothérapies</w:t>
      </w:r>
      <w:r>
        <w:rPr/>
        <w:t>, duré maximale</w:t>
      </w:r>
      <w:r>
        <w:rPr/>
        <w:t>,</w:t>
      </w:r>
      <w:r>
        <w:rPr/>
        <w:t xml:space="preserve"> </w:t>
      </w:r>
      <w:r>
        <w:rPr/>
        <w:t>de douze</w:t>
      </w:r>
      <w:r>
        <w:rPr/>
        <w:t xml:space="preserve"> </w:t>
      </w:r>
      <w:r>
        <w:rPr/>
        <w:t>semaine, arrêt progressif du traitement : réduction</w:t>
      </w:r>
      <w:r>
        <w:rPr/>
        <w:t xml:space="preserve"> de moitié toutes les cinq demi-</w:t>
      </w:r>
      <w:r>
        <w:rPr/>
        <w:t>vies de la molécule</w:t>
      </w:r>
      <w:r>
        <w:rPr/>
        <w:t>,</w:t>
      </w:r>
      <w:r>
        <w:rPr/>
        <w:t xml:space="preserve"> éducation respect des </w:t>
      </w:r>
      <w:r>
        <w:rPr/>
        <w:t>contre-indications</w:t>
      </w:r>
      <w:r>
        <w:rPr/>
        <w:t>)</w:t>
      </w:r>
      <w:r>
        <w:rPr/>
        <w:t xml:space="preserve"> ;</w:t>
      </w:r>
    </w:p>
    <w:p>
      <w:pPr/>
      <w:r>
        <w:rPr/>
        <w:t xml:space="preserve">Carbamates (il n’y a pas lieu de </w:t>
      </w:r>
      <w:r>
        <w:rPr/>
        <w:t>co</w:t>
      </w:r>
      <w:r>
        <w:rPr/>
        <w:t xml:space="preserve">-prescription d’un carbamate et d’une </w:t>
      </w:r>
      <w:r>
        <w:rPr/>
        <w:t>benzodiazépine</w:t>
      </w:r>
      <w:r>
        <w:rPr/>
        <w:t>,</w:t>
      </w:r>
      <w:r>
        <w:rPr/>
        <w:t xml:space="preserve"> monothérapie</w:t>
      </w:r>
      <w:r>
        <w:rPr/>
        <w:t xml:space="preserve"> </w:t>
      </w:r>
      <w:r>
        <w:rPr/>
        <w:t xml:space="preserve">n </w:t>
      </w:r>
      <w:r>
        <w:rPr/>
        <w:t>posologies</w:t>
      </w:r>
      <w:r>
        <w:rPr/>
        <w:t xml:space="preserve"> minimale efficace et arrêt</w:t>
      </w:r>
      <w:r>
        <w:rPr/>
        <w:t xml:space="preserve"> </w:t>
      </w:r>
      <w:r>
        <w:rPr/>
        <w:t>progressif</w:t>
      </w:r>
      <w:r>
        <w:rPr/>
        <w:t>)</w:t>
      </w:r>
    </w:p>
    <w:p>
      <w:pPr>
        <w:pStyle w:val="Heading3"/>
      </w:pPr>
      <w:r>
        <w:rPr/>
        <w:t>Non</w:t>
      </w:r>
      <w:r>
        <w:rPr/>
        <w:t xml:space="preserve"> pharmacologique</w:t>
      </w:r>
      <w:r>
        <w:rPr/>
        <w:t xml:space="preserve"> </w:t>
      </w:r>
    </w:p>
    <w:p>
      <w:pPr/>
      <w:r>
        <w:rPr/>
        <w:t xml:space="preserve">Rassure le patient </w:t>
      </w:r>
    </w:p>
    <w:p>
      <w:pPr/>
      <w:r>
        <w:rPr/>
        <w:t>Ambiance calme, sans dramatisation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