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atresie duodénale</w:t>
      </w:r>
    </w:p>
    <w:p>
      <w:pPr/>
      <w:r>
        <w:rPr/>
        <w:t>Pr Hunald Francis Allen</w:t>
      </w:r>
    </w:p>
    <w:p>
      <w:pPr>
        <w:pStyle w:val="Heading1"/>
      </w:pPr>
      <w:r>
        <w:rPr/>
        <w:t>Définition</w:t>
      </w:r>
    </w:p>
    <w:p>
      <w:pPr/>
      <w:r>
        <w:rPr/>
        <w:t>Interruption de la continuité digestive segmentaire, unique ou multiple au niveau du duodénum</w:t>
      </w:r>
    </w:p>
    <w:p>
      <w:pPr>
        <w:pStyle w:val="Heading1"/>
      </w:pPr>
      <w:r>
        <w:rPr/>
        <w:t>Anatomopathologie</w:t>
      </w:r>
    </w:p>
    <w:p>
      <w:pPr/>
      <w:r>
        <w:rPr/>
        <w:t xml:space="preserve">Interruption complète ou diaphragmatique D2 </w:t>
      </w:r>
    </w:p>
    <w:p>
      <w:pPr/>
      <w:r>
        <w:rPr/>
        <w:t xml:space="preserve">Généralement en </w:t>
      </w:r>
      <w:r>
        <w:rPr/>
        <w:t>aval</w:t>
      </w:r>
      <w:r>
        <w:rPr/>
        <w:t xml:space="preserve"> de l’abouchement du cholédoque </w:t>
      </w:r>
    </w:p>
    <w:p>
      <w:pPr/>
      <w:r>
        <w:rPr/>
        <w:t xml:space="preserve">Parfois bifurcation du cholédoque avec abouchement de part et d’autre de l’interruption </w:t>
      </w:r>
    </w:p>
    <w:p>
      <w:pPr/>
      <w:r>
        <w:rPr/>
        <w:t xml:space="preserve">Exceptionnelle interruption e amont de l’ampoule de Vater </w:t>
      </w:r>
    </w:p>
    <w:p>
      <w:pPr/>
      <w:r>
        <w:rPr/>
        <w:t>** il y a aussi la disparité de calibre***</w:t>
      </w:r>
    </w:p>
    <w:p>
      <w:pPr/>
      <w:r>
        <w:rPr/>
        <w:t>Sténose en cas de lumière pas totalement obstruée</w:t>
      </w:r>
    </w:p>
    <w:p>
      <w:pPr/>
      <w:r>
        <w:rPr/>
        <w:t xml:space="preserve">Parfois abouchement différent du canal de </w:t>
      </w:r>
      <w:r>
        <w:rPr/>
        <w:t>Santorini</w:t>
      </w:r>
      <w:r>
        <w:rPr/>
        <w:t xml:space="preserve"> et De Wirsung</w:t>
      </w:r>
    </w:p>
    <w:p>
      <w:pPr/>
      <w:r>
        <w:rPr/>
        <w:t xml:space="preserve">Associations </w:t>
      </w:r>
    </w:p>
    <w:p>
      <w:pPr>
        <w:numPr>
          <w:ilvl w:val="1"/>
          <w:numId w:val="8"/>
        </w:numPr>
      </w:pPr>
      <w:r>
        <w:rPr/>
        <w:t>Défaut d’accolement avec mésentère commun</w:t>
      </w:r>
    </w:p>
    <w:p>
      <w:pPr>
        <w:numPr>
          <w:ilvl w:val="1"/>
          <w:numId w:val="8"/>
        </w:numPr>
      </w:pPr>
      <w:r>
        <w:rPr/>
        <w:t xml:space="preserve"> Atrésie de l’œsophage</w:t>
      </w:r>
    </w:p>
    <w:p>
      <w:pPr>
        <w:numPr>
          <w:ilvl w:val="1"/>
          <w:numId w:val="8"/>
        </w:numPr>
      </w:pPr>
      <w:r>
        <w:rPr/>
        <w:t>MODED</w:t>
      </w:r>
    </w:p>
    <w:p>
      <w:pPr>
        <w:numPr>
          <w:ilvl w:val="1"/>
          <w:numId w:val="8"/>
        </w:numPr>
      </w:pPr>
      <w:r>
        <w:rPr/>
        <w:t>Parois pancréas annulaire</w:t>
      </w:r>
    </w:p>
    <w:p>
      <w:pPr>
        <w:numPr>
          <w:ilvl w:val="1"/>
          <w:numId w:val="8"/>
        </w:numPr>
      </w:pPr>
      <w:r>
        <w:rPr>
          <w:color w:val="FF0000"/>
        </w:rPr>
        <w:t>Trisomie 21 dans 10% des cas</w:t>
      </w:r>
    </w:p>
    <w:p>
      <w:pPr>
        <w:pStyle w:val="Heading1"/>
      </w:pPr>
      <w:r>
        <w:rPr/>
        <w:t>Physiopathologie</w:t>
      </w:r>
    </w:p>
    <w:p>
      <w:pPr/>
      <w:r>
        <w:rPr/>
        <w:t>Occlusion néonatale haute</w:t>
      </w:r>
    </w:p>
    <w:p>
      <w:pPr/>
      <w:r>
        <w:rPr/>
        <w:t>Occlusion intestinale à ventre plat</w:t>
      </w:r>
    </w:p>
    <w:p>
      <w:pPr/>
      <w:r>
        <w:rPr>
          <w:color w:val="FF0000"/>
        </w:rPr>
        <w:t>Billes ++ des vomissements jaune (toujours chirurgie)</w:t>
      </w:r>
    </w:p>
    <w:p>
      <w:pPr/>
      <w:r>
        <w:rPr/>
        <w:t xml:space="preserve">Exceptionnel vomissement s no bilieux (cas d’atrésie sus </w:t>
      </w:r>
      <w:r>
        <w:rPr/>
        <w:t>Vatérienne</w:t>
      </w:r>
      <w:r>
        <w:rPr/>
        <w:t>)</w:t>
      </w:r>
    </w:p>
    <w:p>
      <w:pPr>
        <w:pStyle w:val="Heading1"/>
      </w:pPr>
      <w:r>
        <w:rPr/>
        <w:t>Diagnostic anténatale</w:t>
      </w:r>
    </w:p>
    <w:p>
      <w:pPr/>
      <w:r>
        <w:rPr/>
        <w:t>Dilation de l’estomac et du premier duodénum</w:t>
      </w:r>
    </w:p>
    <w:p>
      <w:pPr/>
      <w:r>
        <w:rPr/>
        <w:t>Aspect en double bulle</w:t>
      </w:r>
    </w:p>
    <w:p>
      <w:pPr/>
      <w:r>
        <w:rPr/>
        <w:t xml:space="preserve">Hydramnios </w:t>
      </w:r>
    </w:p>
    <w:p>
      <w:pPr>
        <w:pStyle w:val="Heading1"/>
      </w:pPr>
      <w:r>
        <w:rPr/>
        <w:t>Diagnostic postnatal</w:t>
      </w:r>
    </w:p>
    <w:p>
      <w:pPr/>
      <w:r>
        <w:rPr/>
        <w:t xml:space="preserve">Vomissements bilieux ou alimentaire près la naissance </w:t>
      </w:r>
    </w:p>
    <w:p>
      <w:pPr/>
      <w:r>
        <w:rPr/>
        <w:t>Abdomen plat</w:t>
      </w:r>
    </w:p>
    <w:p>
      <w:pPr/>
      <w:r>
        <w:rPr/>
        <w:t>Selle fait de bouchon muqueux</w:t>
      </w:r>
    </w:p>
    <w:p>
      <w:pPr/>
      <w:r>
        <w:rPr/>
        <w:t>ASP</w:t>
      </w:r>
    </w:p>
    <w:p>
      <w:pPr>
        <w:numPr>
          <w:ilvl w:val="1"/>
          <w:numId w:val="8"/>
        </w:numPr>
      </w:pPr>
      <w:r>
        <w:rPr>
          <w:color w:val="FF0000"/>
        </w:rPr>
        <w:t>Aspect en double bulle</w:t>
      </w:r>
      <w:r>
        <w:rPr>
          <w:color w:val="FF0000"/>
        </w:rPr>
        <w:t xml:space="preserve"> (</w:t>
      </w:r>
      <w:r>
        <w:rPr>
          <w:color w:val="FF0000"/>
        </w:rPr>
        <w:t>deux poches</w:t>
      </w:r>
      <w:r>
        <w:rPr>
          <w:color w:val="FF0000"/>
        </w:rPr>
        <w:t xml:space="preserve"> à air gastrique)</w:t>
      </w:r>
    </w:p>
    <w:p>
      <w:pPr>
        <w:numPr>
          <w:ilvl w:val="1"/>
          <w:numId w:val="8"/>
        </w:numPr>
      </w:pPr>
      <w:r>
        <w:rPr>
          <w:color w:val="FF0000"/>
        </w:rPr>
        <w:t>Non aération du reste de l’abdomen</w:t>
      </w:r>
    </w:p>
    <w:p>
      <w:pPr>
        <w:pStyle w:val="Heading1"/>
      </w:pPr>
      <w:r>
        <w:rPr/>
        <w:t>Traitement</w:t>
      </w:r>
    </w:p>
    <w:p>
      <w:pPr/>
      <w:r>
        <w:rPr/>
        <w:t xml:space="preserve">Sonde gastrique - aspiration digestive </w:t>
      </w:r>
    </w:p>
    <w:p>
      <w:pPr/>
      <w:r>
        <w:rPr/>
        <w:t xml:space="preserve">Transfert en chirurgie pédiatrique </w:t>
      </w:r>
    </w:p>
    <w:p>
      <w:pPr/>
      <w:r>
        <w:rPr/>
        <w:t xml:space="preserve">Chirurgie </w:t>
      </w:r>
    </w:p>
    <w:p>
      <w:pPr>
        <w:numPr>
          <w:ilvl w:val="1"/>
          <w:numId w:val="8"/>
        </w:numPr>
      </w:pPr>
      <w:r>
        <w:rPr/>
        <w:t xml:space="preserve">Laparotomie transversale ou médiane </w:t>
      </w:r>
    </w:p>
    <w:p>
      <w:pPr>
        <w:numPr>
          <w:ilvl w:val="1"/>
          <w:numId w:val="8"/>
        </w:numPr>
      </w:pPr>
      <w:r>
        <w:rPr/>
        <w:t>Anastomose</w:t>
      </w:r>
      <w:r>
        <w:rPr/>
        <w:t xml:space="preserve"> </w:t>
      </w:r>
      <w:r>
        <w:rPr/>
        <w:t>duodéno</w:t>
      </w:r>
      <w:r>
        <w:rPr/>
        <w:t xml:space="preserve">-duodénale </w:t>
      </w:r>
      <w:r>
        <w:rPr/>
        <w:t>latéro</w:t>
      </w:r>
      <w:r>
        <w:rPr/>
        <w:t>-latérale ou en « diamant » (</w:t>
      </w:r>
      <w:r>
        <w:rPr/>
        <w:t>Duodéno-dudénostomie</w:t>
      </w:r>
      <w:r>
        <w:rPr/>
        <w:t>)</w:t>
      </w:r>
    </w:p>
    <w:p>
      <w:pPr/>
      <w:r>
        <w:rPr/>
        <w:t xml:space="preserve">Suite opératoire </w:t>
      </w:r>
    </w:p>
    <w:p>
      <w:pPr>
        <w:numPr>
          <w:ilvl w:val="1"/>
          <w:numId w:val="8"/>
        </w:numPr>
      </w:pPr>
      <w:r>
        <w:rPr/>
        <w:t>Aspiration gastrique prolongée</w:t>
      </w:r>
    </w:p>
    <w:p>
      <w:pPr>
        <w:numPr>
          <w:ilvl w:val="1"/>
          <w:numId w:val="8"/>
        </w:numPr>
      </w:pPr>
      <w:r>
        <w:rPr/>
        <w:t>Reprise lente de l’alimentation</w:t>
      </w:r>
    </w:p>
    <w:p>
      <w:pPr>
        <w:numPr>
          <w:ilvl w:val="1"/>
          <w:numId w:val="8"/>
        </w:numPr>
      </w:pPr>
      <w:r>
        <w:rPr/>
        <w:t xml:space="preserve">Bon pronostic à distance </w:t>
      </w:r>
    </w:p>
    <w:p>
      <w:pPr>
        <w:numPr>
          <w:ilvl w:val="1"/>
          <w:numId w:val="8"/>
        </w:numPr>
      </w:pPr>
      <w:r>
        <w:rPr/>
        <w:t xml:space="preserve">Risque de Bézoard </w:t>
      </w:r>
    </w:p>
    <w:p>
      <w:pPr>
        <w:pStyle w:val="Heading1"/>
      </w:pPr>
      <w:r>
        <w:rPr/>
        <w:t xml:space="preserve">Conclusion </w:t>
      </w:r>
    </w:p>
    <w:p>
      <w:pPr/>
      <w:r>
        <w:rPr/>
        <w:t xml:space="preserve">Urgence </w:t>
      </w:r>
      <w:r>
        <w:rPr/>
        <w:t>diagnostique</w:t>
      </w:r>
      <w:r>
        <w:rPr/>
        <w:t xml:space="preserve"> et </w:t>
      </w:r>
      <w:r>
        <w:rPr/>
        <w:t>thérapeutique</w:t>
      </w:r>
      <w:r>
        <w:rPr/>
        <w:t xml:space="preserve"> </w:t>
      </w:r>
    </w:p>
    <w:p>
      <w:pPr/>
      <w:r>
        <w:rPr/>
        <w:t>Diagnostic</w:t>
      </w:r>
      <w:r>
        <w:rPr/>
        <w:t xml:space="preserve"> anténatale possible </w:t>
      </w:r>
    </w:p>
    <w:p>
      <w:pPr/>
      <w:r>
        <w:rPr/>
        <w:t xml:space="preserve">Occlusion intestinale haute à la naissance </w:t>
      </w:r>
    </w:p>
    <w:p>
      <w:pPr/>
      <w:r>
        <w:rPr/>
        <w:t xml:space="preserve">Traitement chirurgicale </w:t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