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ACHALASIE DE L’OESOPHAGE</w:t>
      </w:r>
    </w:p>
    <w:p>
      <w:pPr>
        <w:pStyle w:val="Heading1"/>
      </w:pPr>
      <w:r>
        <w:rPr/>
        <w:t>Objectifs :</w:t>
      </w:r>
    </w:p>
    <w:p>
      <w:pPr>
        <w:numPr>
          <w:ilvl w:val="0"/>
          <w:numId w:val="20"/>
        </w:numPr>
      </w:pPr>
      <w:r>
        <w:rPr/>
        <w:t>Décrire les signes</w:t>
      </w:r>
    </w:p>
    <w:p>
      <w:pPr>
        <w:numPr>
          <w:ilvl w:val="0"/>
          <w:numId w:val="20"/>
        </w:numPr>
      </w:pPr>
      <w:r>
        <w:rPr/>
        <w:t>Porter le diagnostic</w:t>
      </w:r>
    </w:p>
    <w:p>
      <w:pPr/>
    </w:p>
    <w:p>
      <w:pPr/>
      <w:r>
        <w:rPr>
          <w:i/>
        </w:rPr>
        <w:t>Classification de Chicago : les différents types de troubles moteurs de l’</w:t>
      </w:r>
      <w:r>
        <w:rPr>
          <w:i/>
        </w:rPr>
        <w:t>œsophage</w:t>
      </w:r>
    </w:p>
    <w:p>
      <w:pPr>
        <w:pStyle w:val="Heading1"/>
      </w:pPr>
      <w:r>
        <w:rPr/>
        <w:t>INTRODUCTION</w:t>
      </w:r>
    </w:p>
    <w:p>
      <w:pPr>
        <w:pStyle w:val="Heading2"/>
      </w:pPr>
      <w:r>
        <w:rPr/>
        <w:t>Définition :</w:t>
      </w:r>
    </w:p>
    <w:p>
      <w:pPr>
        <w:numPr>
          <w:ilvl w:val="1"/>
          <w:numId w:val="21"/>
        </w:numPr>
      </w:pPr>
      <w:r>
        <w:rPr/>
        <w:t>Trouble moteur primaire de l’</w:t>
      </w:r>
      <w:r>
        <w:rPr/>
        <w:t>œsophage</w:t>
      </w:r>
    </w:p>
    <w:p>
      <w:pPr>
        <w:numPr>
          <w:ilvl w:val="1"/>
          <w:numId w:val="21"/>
        </w:numPr>
      </w:pPr>
      <w:r>
        <w:rPr/>
        <w:t xml:space="preserve">Absence de péristaltisme </w:t>
      </w:r>
      <w:r>
        <w:rPr/>
        <w:t>œsophagien</w:t>
      </w:r>
    </w:p>
    <w:p>
      <w:pPr>
        <w:numPr>
          <w:ilvl w:val="1"/>
          <w:numId w:val="21"/>
        </w:numPr>
      </w:pPr>
      <w:r>
        <w:rPr/>
        <w:t>Absence de relaxation du SIO en réponse à la déglutition</w:t>
      </w:r>
    </w:p>
    <w:p>
      <w:pPr>
        <w:numPr>
          <w:ilvl w:val="1"/>
          <w:numId w:val="21"/>
        </w:numPr>
      </w:pPr>
      <w:r>
        <w:rPr/>
        <w:t>Hypertonie du SIO</w:t>
      </w:r>
      <w:r>
        <w:rPr/>
        <w:br/>
      </w:r>
    </w:p>
    <w:p>
      <w:pPr>
        <w:pStyle w:val="Heading2"/>
      </w:pPr>
      <w:r>
        <w:rPr/>
        <w:t>PHYSIOPATHOLOGIE</w:t>
      </w:r>
    </w:p>
    <w:p>
      <w:pPr>
        <w:numPr>
          <w:ilvl w:val="0"/>
          <w:numId w:val="23"/>
        </w:numPr>
      </w:pPr>
      <w:r>
        <w:rPr>
          <w:b/>
        </w:rPr>
        <w:t xml:space="preserve">Dégénérescence inflammatoire </w:t>
      </w:r>
      <w:r>
        <w:rPr/>
        <w:t>des cellules ganglionnaires inhibitrices du plexus myentérique (d’Auerbach)</w:t>
      </w:r>
    </w:p>
    <w:p>
      <w:pPr>
        <w:numPr>
          <w:ilvl w:val="0"/>
          <w:numId w:val="23"/>
        </w:numPr>
      </w:pPr>
      <w:r>
        <w:rPr>
          <w:b/>
        </w:rPr>
        <w:t>Augmentation du tonus de repos du SIO</w:t>
      </w:r>
      <w:r>
        <w:rPr/>
        <w:t xml:space="preserve"> </w:t>
      </w:r>
      <w:r>
        <w:rPr>
          <w:b/>
        </w:rPr>
        <w:t xml:space="preserve">-&gt; </w:t>
      </w:r>
      <w:r>
        <w:rPr/>
        <w:t>absence de relaxation normale du SIO au cours de la déglutition</w:t>
      </w:r>
    </w:p>
    <w:p>
      <w:pPr>
        <w:numPr>
          <w:ilvl w:val="0"/>
          <w:numId w:val="23"/>
        </w:numPr>
      </w:pPr>
      <w:r>
        <w:rPr>
          <w:b/>
        </w:rPr>
        <w:t xml:space="preserve">Perte du péristaltisme des cellules musculaires lisses </w:t>
      </w:r>
      <w:r>
        <w:rPr/>
        <w:t>du corps de l’</w:t>
      </w:r>
      <w:r>
        <w:rPr/>
        <w:t>œsophage</w:t>
      </w:r>
    </w:p>
    <w:p>
      <w:pPr/>
      <w:r>
        <w:drawing>
          <wp:inline xmlns:a="http://schemas.openxmlformats.org/drawingml/2006/main" xmlns:pic="http://schemas.openxmlformats.org/drawingml/2006/picture">
            <wp:extent cx="38239700" cy="19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0" cy="19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1"/>
      </w:pPr>
      <w:r>
        <w:rPr/>
        <w:t>DIAGNOSTIC</w:t>
      </w:r>
    </w:p>
    <w:p>
      <w:pPr>
        <w:pStyle w:val="Heading2"/>
      </w:pPr>
      <w:r>
        <w:rPr/>
        <w:t>DIAGNOSTIC POSITIF</w:t>
      </w:r>
    </w:p>
    <w:p>
      <w:pPr/>
      <w:r>
        <w:rPr/>
        <w:t>Évoqué par la clinique, affirmé par les examens complémentaires</w:t>
      </w:r>
    </w:p>
    <w:p>
      <w:pPr>
        <w:pStyle w:val="Heading3"/>
        <w:numPr>
          <w:ilvl w:val="0"/>
          <w:numId w:val="72"/>
        </w:numPr>
      </w:pPr>
      <w:r>
        <w:rPr/>
        <w:t>Signes cliniques :</w:t>
      </w:r>
    </w:p>
    <w:p>
      <w:pPr>
        <w:numPr>
          <w:ilvl w:val="1"/>
          <w:numId w:val="22"/>
        </w:numPr>
      </w:pPr>
      <w:r>
        <w:rPr/>
        <w:t xml:space="preserve">Longtemps paucisymptomatique </w:t>
      </w:r>
    </w:p>
    <w:p>
      <w:pPr>
        <w:numPr>
          <w:ilvl w:val="1"/>
          <w:numId w:val="22"/>
        </w:numPr>
      </w:pPr>
      <w:r>
        <w:rPr>
          <w:b/>
        </w:rPr>
        <w:t xml:space="preserve">Dysphagie souvent paradoxale (fonctionnel) : </w:t>
      </w:r>
      <w:r>
        <w:rPr/>
        <w:t>liquide &gt; solide (93 - 99 %)</w:t>
      </w:r>
    </w:p>
    <w:p>
      <w:pPr>
        <w:numPr>
          <w:ilvl w:val="1"/>
          <w:numId w:val="22"/>
        </w:numPr>
      </w:pPr>
      <w:r>
        <w:rPr>
          <w:b/>
        </w:rPr>
        <w:t>Régurgitation</w:t>
      </w:r>
    </w:p>
    <w:p>
      <w:pPr>
        <w:numPr>
          <w:ilvl w:val="1"/>
          <w:numId w:val="22"/>
        </w:numPr>
      </w:pPr>
      <w:r>
        <w:rPr/>
        <w:t>Douleurs rétrosternales (59%)</w:t>
      </w:r>
    </w:p>
    <w:p>
      <w:pPr>
        <w:numPr>
          <w:ilvl w:val="1"/>
          <w:numId w:val="22"/>
        </w:numPr>
      </w:pPr>
      <w:r>
        <w:rPr/>
        <w:t>Perte de poids (61%)</w:t>
      </w:r>
    </w:p>
    <w:p>
      <w:pPr>
        <w:numPr>
          <w:ilvl w:val="1"/>
          <w:numId w:val="22"/>
        </w:numPr>
      </w:pPr>
      <w:r>
        <w:rPr/>
        <w:t>Toux nocturne (45%) voire dyspnée nocturne (20%)</w:t>
      </w:r>
    </w:p>
    <w:p>
      <w:pPr>
        <w:numPr>
          <w:ilvl w:val="1"/>
          <w:numId w:val="22"/>
        </w:numPr>
      </w:pPr>
      <w:r>
        <w:rPr/>
        <w:t>Hoquet (8%)</w:t>
      </w:r>
      <w:r>
        <w:rPr/>
        <w:br/>
      </w:r>
    </w:p>
    <w:p>
      <w:pPr>
        <w:pStyle w:val="Heading3"/>
        <w:numPr>
          <w:ilvl w:val="0"/>
          <w:numId w:val="72"/>
        </w:numPr>
      </w:pPr>
      <w:r>
        <w:rPr/>
        <w:t xml:space="preserve">Examens </w:t>
      </w:r>
      <w:r>
        <w:rPr/>
        <w:t>complémentaires</w:t>
      </w:r>
      <w:r>
        <w:rPr/>
        <w:t xml:space="preserve"> :</w:t>
      </w:r>
    </w:p>
    <w:p>
      <w:pPr>
        <w:pStyle w:val="Heading4"/>
        <w:numPr>
          <w:ilvl w:val="0"/>
          <w:numId w:val="70"/>
        </w:numPr>
      </w:pPr>
      <w:r>
        <w:rPr/>
        <w:t>Endoscopie digestive haute : (</w:t>
      </w:r>
      <w:r>
        <w:rPr>
          <w:i/>
        </w:rPr>
        <w:t>devant toute dysphagie)</w:t>
      </w:r>
    </w:p>
    <w:p>
      <w:pPr>
        <w:numPr>
          <w:ilvl w:val="2"/>
          <w:numId w:val="22"/>
        </w:numPr>
      </w:pPr>
      <w:r>
        <w:rPr/>
        <w:t>Œsophage</w:t>
      </w:r>
      <w:r>
        <w:rPr/>
        <w:t xml:space="preserve"> dilaté avec présence de résidus alimentaires = </w:t>
      </w:r>
      <w:r>
        <w:rPr>
          <w:b/>
        </w:rPr>
        <w:t>MEGAOESOPHAGE (</w:t>
      </w:r>
      <w:r>
        <w:rPr>
          <w:b/>
          <w:i/>
        </w:rPr>
        <w:t xml:space="preserve">autre </w:t>
      </w:r>
      <w:r>
        <w:rPr>
          <w:b/>
          <w:i/>
        </w:rPr>
        <w:t>appellation</w:t>
      </w:r>
      <w:r>
        <w:rPr>
          <w:b/>
          <w:i/>
        </w:rPr>
        <w:t xml:space="preserve">, </w:t>
      </w:r>
      <w:r>
        <w:rPr>
          <w:i/>
        </w:rPr>
        <w:t>apparaît après plusieurs années d’évolution)</w:t>
      </w:r>
    </w:p>
    <w:p>
      <w:pPr>
        <w:numPr>
          <w:ilvl w:val="2"/>
          <w:numId w:val="22"/>
        </w:numPr>
      </w:pPr>
      <w:r>
        <w:rPr/>
        <w:t>Muqueuse normale et stase alimentaire</w:t>
      </w:r>
    </w:p>
    <w:p>
      <w:pPr>
        <w:numPr>
          <w:ilvl w:val="2"/>
          <w:numId w:val="22"/>
        </w:numPr>
      </w:pPr>
      <w:r>
        <w:rPr/>
        <w:t>Franchissement difficile et avec ressaut du cardia</w:t>
      </w:r>
    </w:p>
    <w:p>
      <w:pPr>
        <w:numPr>
          <w:ilvl w:val="2"/>
          <w:numId w:val="22"/>
        </w:numPr>
      </w:pPr>
      <w:r>
        <w:rPr/>
        <w:t>Diagnostic différentiel : cancer</w:t>
      </w:r>
    </w:p>
    <w:p>
      <w:pPr>
        <w:pStyle w:val="Heading4"/>
        <w:numPr>
          <w:ilvl w:val="0"/>
          <w:numId w:val="70"/>
        </w:numPr>
      </w:pPr>
      <w:r>
        <w:rPr/>
        <w:t>Radiologie</w:t>
      </w:r>
      <w:r>
        <w:rPr/>
        <w:t xml:space="preserve"> :</w:t>
      </w:r>
    </w:p>
    <w:p>
      <w:pPr>
        <w:numPr>
          <w:ilvl w:val="2"/>
          <w:numId w:val="22"/>
        </w:numPr>
      </w:pPr>
      <w:r>
        <w:rPr>
          <w:b/>
        </w:rPr>
        <w:t>Radiographie du thorax</w:t>
      </w:r>
    </w:p>
    <w:p>
      <w:pPr>
        <w:numPr>
          <w:ilvl w:val="3"/>
          <w:numId w:val="22"/>
        </w:numPr>
      </w:pPr>
      <w:r>
        <w:rPr/>
        <w:t>Elargissement du médiastin au stade de mégaoesophage</w:t>
      </w:r>
    </w:p>
    <w:p>
      <w:pPr>
        <w:numPr>
          <w:ilvl w:val="3"/>
          <w:numId w:val="22"/>
        </w:numPr>
      </w:pPr>
      <w:r>
        <w:rPr/>
        <w:t>Disparition de la poche à air gastrique</w:t>
      </w:r>
    </w:p>
    <w:p>
      <w:pPr>
        <w:numPr>
          <w:ilvl w:val="2"/>
          <w:numId w:val="22"/>
        </w:numPr>
      </w:pPr>
      <w:r>
        <w:rPr>
          <w:b/>
        </w:rPr>
        <w:t xml:space="preserve">Transit baryté </w:t>
      </w:r>
      <w:r>
        <w:rPr>
          <w:b/>
        </w:rPr>
        <w:t>œsogastrique</w:t>
      </w:r>
      <w:r>
        <w:rPr>
          <w:b/>
        </w:rPr>
        <w:t xml:space="preserve"> : TOGD</w:t>
      </w:r>
    </w:p>
    <w:p>
      <w:pPr>
        <w:numPr>
          <w:ilvl w:val="3"/>
          <w:numId w:val="22"/>
        </w:numPr>
      </w:pPr>
      <w:r>
        <w:rPr/>
        <w:t xml:space="preserve">Aspect en </w:t>
      </w:r>
      <w:r>
        <w:rPr>
          <w:b/>
        </w:rPr>
        <w:t>bec d’oiseau</w:t>
      </w:r>
      <w:r>
        <w:rPr/>
        <w:t xml:space="preserve"> au niveau de la jonction oeso-gastrique</w:t>
      </w:r>
    </w:p>
    <w:p>
      <w:pPr>
        <w:numPr>
          <w:ilvl w:val="3"/>
          <w:numId w:val="22"/>
        </w:numPr>
      </w:pPr>
      <w:r>
        <w:rPr/>
        <w:t>Dilatation de l’</w:t>
      </w:r>
      <w:r>
        <w:rPr/>
        <w:t>œsophage</w:t>
      </w:r>
      <w:r>
        <w:rPr/>
        <w:t xml:space="preserve"> en amont</w:t>
      </w:r>
    </w:p>
    <w:p>
      <w:pPr>
        <w:numPr>
          <w:ilvl w:val="3"/>
          <w:numId w:val="22"/>
        </w:numPr>
      </w:pPr>
      <w:r>
        <w:rPr/>
        <w:t>Peut être normal à un stade précoce</w:t>
      </w:r>
    </w:p>
    <w:p>
      <w:pPr/>
      <w:r>
        <w:drawing>
          <wp:inline xmlns:a="http://schemas.openxmlformats.org/drawingml/2006/main" xmlns:pic="http://schemas.openxmlformats.org/drawingml/2006/picture">
            <wp:extent cx="21602700" cy="161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0" cy="161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22"/>
        </w:numPr>
      </w:pPr>
      <w:r>
        <w:rPr>
          <w:b/>
        </w:rPr>
        <w:t xml:space="preserve">Scanner thoracique </w:t>
      </w:r>
      <w:r>
        <w:rPr/>
        <w:t xml:space="preserve">avec </w:t>
      </w:r>
      <w:r>
        <w:rPr>
          <w:b/>
          <w:u w:val="single"/>
        </w:rPr>
        <w:t>balisage digestive :</w:t>
      </w:r>
      <w:r>
        <w:rPr/>
        <w:t xml:space="preserve"> alternative du TOGD (</w:t>
      </w:r>
      <w:r>
        <w:rPr>
          <w:i/>
        </w:rPr>
        <w:t>ingestion de PDC -&gt; même signe que TOGD)</w:t>
      </w:r>
    </w:p>
    <w:p>
      <w:pPr>
        <w:pStyle w:val="Heading4"/>
        <w:numPr>
          <w:ilvl w:val="0"/>
          <w:numId w:val="70"/>
        </w:numPr>
      </w:pPr>
      <w:r>
        <w:rPr/>
        <w:t>Manométrie</w:t>
      </w:r>
      <w:r>
        <w:rPr/>
        <w:t xml:space="preserve"> </w:t>
      </w:r>
      <w:r>
        <w:rPr/>
        <w:t>œsophagienne</w:t>
      </w:r>
      <w:r>
        <w:rPr/>
        <w:t xml:space="preserve"> de haute résolution : examen de référence</w:t>
      </w:r>
    </w:p>
    <w:p>
      <w:pPr>
        <w:numPr>
          <w:ilvl w:val="2"/>
          <w:numId w:val="22"/>
        </w:numPr>
      </w:pPr>
      <w:r>
        <w:rPr/>
        <w:t>Pression de repos du SIO élevée (&gt; 45mmHg)</w:t>
      </w:r>
    </w:p>
    <w:p>
      <w:pPr>
        <w:numPr>
          <w:ilvl w:val="2"/>
          <w:numId w:val="22"/>
        </w:numPr>
      </w:pPr>
      <w:r>
        <w:rPr/>
        <w:t xml:space="preserve">Pression de relaxation intégrée (PLI) : </w:t>
      </w:r>
      <w:r>
        <w:rPr>
          <w:i/>
        </w:rPr>
        <w:t xml:space="preserve">on demande au patient d’avaler et à la déglutition, mesure de la pression au niveau du </w:t>
      </w:r>
      <w:r>
        <w:rPr>
          <w:i/>
        </w:rPr>
        <w:t>SIO pendant</w:t>
      </w:r>
      <w:r>
        <w:rPr>
          <w:i/>
        </w:rPr>
        <w:t xml:space="preserve"> 4 </w:t>
      </w:r>
      <w:r>
        <w:rPr>
          <w:i/>
        </w:rPr>
        <w:t>secondes :</w:t>
      </w:r>
      <w:r>
        <w:rPr>
          <w:i/>
        </w:rPr>
        <w:t xml:space="preserve"> </w:t>
      </w:r>
      <w:r>
        <w:rPr/>
        <w:t>(&gt; 15 mmHg)</w:t>
      </w:r>
    </w:p>
    <w:p>
      <w:pPr>
        <w:numPr>
          <w:ilvl w:val="2"/>
          <w:numId w:val="22"/>
        </w:numPr>
      </w:pPr>
      <w:r>
        <w:rPr/>
        <w:t>Apéristaltisme du corps de l’</w:t>
      </w:r>
      <w:r>
        <w:rPr/>
        <w:t>œsophage</w:t>
      </w:r>
    </w:p>
    <w:p>
      <w:pPr>
        <w:numPr>
          <w:ilvl w:val="2"/>
          <w:numId w:val="22"/>
        </w:numPr>
      </w:pPr>
      <w:r>
        <w:rPr/>
        <w:t>Contractions anarchiques de grande amplitude non propagées</w:t>
      </w:r>
    </w:p>
    <w:p>
      <w:pPr>
        <w:numPr>
          <w:ilvl w:val="2"/>
          <w:numId w:val="22"/>
        </w:numPr>
      </w:pPr>
      <w:r>
        <w:rPr/>
        <w:t>Hyperpression intra-</w:t>
      </w:r>
      <w:r>
        <w:rPr/>
        <w:t>œsophagienne</w:t>
      </w:r>
    </w:p>
    <w:p>
      <w:pPr>
        <w:numPr>
          <w:ilvl w:val="2"/>
          <w:numId w:val="22"/>
        </w:numPr>
      </w:pPr>
      <w:r>
        <w:rPr>
          <w:b/>
        </w:rPr>
        <w:t>Classification de Chicago :</w:t>
      </w:r>
    </w:p>
    <w:p>
      <w:pPr>
        <w:numPr>
          <w:ilvl w:val="3"/>
          <w:numId w:val="22"/>
        </w:numPr>
      </w:pPr>
      <w:r>
        <w:rPr>
          <w:b/>
        </w:rPr>
        <w:t xml:space="preserve">Type 1 : </w:t>
      </w:r>
      <w:r>
        <w:rPr/>
        <w:t>100% de contractions absentes</w:t>
      </w:r>
    </w:p>
    <w:p>
      <w:pPr>
        <w:numPr>
          <w:ilvl w:val="3"/>
          <w:numId w:val="22"/>
        </w:numPr>
      </w:pPr>
      <w:r>
        <w:rPr/>
        <w:t xml:space="preserve">Type 2 : dans plus de </w:t>
      </w:r>
      <w:r>
        <w:rPr>
          <w:rFonts w:ascii="Symbol" w:hAnsi="Symbol"/>
        </w:rPr>
      </w:r>
      <w:r>
        <w:rPr/>
        <w:t>20% des déglutitions : contractions non propagées avec pressurisation panoesophagienne</w:t>
      </w:r>
    </w:p>
    <w:p>
      <w:pPr>
        <w:numPr>
          <w:ilvl w:val="3"/>
          <w:numId w:val="22"/>
        </w:numPr>
      </w:pPr>
      <w:r>
        <w:rPr/>
        <w:t xml:space="preserve">Type 3 : </w:t>
      </w:r>
      <w:r>
        <w:rPr>
          <w:rFonts w:ascii="Symbol" w:hAnsi="Symbol"/>
        </w:rPr>
      </w:r>
      <w:r>
        <w:rPr/>
        <w:t xml:space="preserve"> 20% fragments de contractions prématurées ou spasmes</w:t>
      </w:r>
      <w:r>
        <w:rPr/>
        <w:br/>
      </w:r>
    </w:p>
    <w:p>
      <w:pPr/>
    </w:p>
    <w:p>
      <w:pPr>
        <w:pStyle w:val="Heading2"/>
      </w:pPr>
      <w:r>
        <w:rPr/>
        <w:t>DIAGNOSTIC DIFFERENTIEL</w:t>
      </w:r>
      <w:r>
        <w:rPr/>
        <w:t xml:space="preserve"> </w:t>
      </w:r>
    </w:p>
    <w:p>
      <w:pPr>
        <w:numPr>
          <w:ilvl w:val="0"/>
          <w:numId w:val="24"/>
        </w:numPr>
      </w:pPr>
      <w:r>
        <w:rPr/>
        <w:t xml:space="preserve">Devant les régurgitations et la douleur rétro-sternale : Reflux </w:t>
      </w:r>
      <w:r>
        <w:rPr/>
        <w:t>gastro-œsophagien</w:t>
      </w:r>
    </w:p>
    <w:p>
      <w:pPr>
        <w:numPr>
          <w:ilvl w:val="0"/>
          <w:numId w:val="24"/>
        </w:numPr>
      </w:pPr>
      <w:r>
        <w:rPr/>
        <w:t>Devant la dysphagie :</w:t>
      </w:r>
    </w:p>
    <w:p>
      <w:pPr>
        <w:numPr>
          <w:ilvl w:val="1"/>
          <w:numId w:val="24"/>
        </w:numPr>
      </w:pPr>
      <w:r>
        <w:rPr/>
        <w:t>Cancer de l’</w:t>
      </w:r>
      <w:r>
        <w:rPr/>
        <w:t>œsophage</w:t>
      </w:r>
    </w:p>
    <w:p>
      <w:pPr>
        <w:numPr>
          <w:ilvl w:val="1"/>
          <w:numId w:val="24"/>
        </w:numPr>
      </w:pPr>
      <w:r>
        <w:rPr/>
        <w:t xml:space="preserve">Autres troubles moteurs </w:t>
      </w:r>
      <w:r>
        <w:rPr/>
        <w:t>œsophagiens</w:t>
      </w:r>
      <w:r>
        <w:rPr/>
        <w:t xml:space="preserve"> (</w:t>
      </w:r>
      <w:r>
        <w:rPr/>
        <w:t>manométrie</w:t>
      </w:r>
      <w:r>
        <w:rPr/>
      </w:r>
      <w:r>
        <w:rPr/>
        <w:t xml:space="preserve">) </w:t>
      </w:r>
    </w:p>
    <w:p>
      <w:pPr>
        <w:numPr>
          <w:ilvl w:val="0"/>
          <w:numId w:val="24"/>
        </w:numPr>
      </w:pPr>
      <w:r>
        <w:rPr>
          <w:b/>
        </w:rPr>
        <w:t xml:space="preserve">Pseudo-achalasie : </w:t>
      </w:r>
      <w:r>
        <w:rPr/>
        <w:t>processus néoplasique de la jonction oeso-gastrique (</w:t>
      </w:r>
      <w:r>
        <w:rPr>
          <w:i/>
        </w:rPr>
        <w:t>fibroscopie + bonne rétrovision)</w:t>
      </w:r>
    </w:p>
    <w:p>
      <w:pPr/>
    </w:p>
    <w:p>
      <w:pPr>
        <w:pStyle w:val="Heading1"/>
      </w:pPr>
      <w:r>
        <w:rPr/>
        <w:t>CONCLUSION</w:t>
      </w:r>
    </w:p>
    <w:p>
      <w:pPr>
        <w:numPr>
          <w:ilvl w:val="0"/>
          <w:numId w:val="25"/>
        </w:numPr>
      </w:pPr>
      <w:r>
        <w:rPr/>
        <w:t>Trouble moteur primaire de l’</w:t>
      </w:r>
      <w:r>
        <w:rPr/>
        <w:t>œsophage</w:t>
      </w:r>
    </w:p>
    <w:p>
      <w:pPr>
        <w:numPr>
          <w:ilvl w:val="0"/>
          <w:numId w:val="25"/>
        </w:numPr>
      </w:pPr>
      <w:r>
        <w:rPr/>
        <w:t>Deux principaux signes cliniques : dysphagie et régurgitations</w:t>
      </w:r>
    </w:p>
    <w:p>
      <w:pPr>
        <w:numPr>
          <w:ilvl w:val="0"/>
          <w:numId w:val="25"/>
        </w:numPr>
      </w:pPr>
      <w:r>
        <w:rPr/>
        <w:t xml:space="preserve">Examens à demander : </w:t>
      </w:r>
    </w:p>
    <w:p>
      <w:pPr>
        <w:numPr>
          <w:ilvl w:val="1"/>
          <w:numId w:val="25"/>
        </w:numPr>
      </w:pPr>
      <w:r>
        <w:rPr/>
        <w:t>EDH</w:t>
      </w:r>
    </w:p>
    <w:p>
      <w:pPr>
        <w:numPr>
          <w:ilvl w:val="1"/>
          <w:numId w:val="25"/>
        </w:numPr>
      </w:pPr>
      <w:r>
        <w:rPr/>
        <w:t>TOGD ou Scanner avec balisage digestive</w:t>
      </w:r>
    </w:p>
    <w:p>
      <w:pPr>
        <w:numPr>
          <w:ilvl w:val="1"/>
          <w:numId w:val="25"/>
        </w:numPr>
      </w:pPr>
      <w:r>
        <w:rPr/>
        <w:t xml:space="preserve">Manométrie </w:t>
      </w:r>
      <w:r>
        <w:rPr/>
        <w:t>œsophagienne</w:t>
      </w:r>
      <w:r>
        <w:rPr/>
        <w:t xml:space="preserve"> à haute résolution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