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DIARRHEE AIGUE DE L’ADULTE</w:t>
      </w:r>
    </w:p>
    <w:p>
      <w:pPr>
        <w:pStyle w:val="Heading1"/>
      </w:pPr>
      <w:r>
        <w:rPr/>
        <w:t>Objectifs :</w:t>
      </w:r>
    </w:p>
    <w:p>
      <w:pPr>
        <w:numPr>
          <w:ilvl w:val="0"/>
          <w:numId w:val="26"/>
        </w:numPr>
      </w:pPr>
      <w:r>
        <w:rPr/>
        <w:t>Expliquer la physiopathologie</w:t>
      </w:r>
    </w:p>
    <w:p>
      <w:pPr>
        <w:numPr>
          <w:ilvl w:val="0"/>
          <w:numId w:val="26"/>
        </w:numPr>
      </w:pPr>
      <w:r>
        <w:rPr/>
        <w:t>Décrire les signes cliniques et paracliniques</w:t>
      </w:r>
    </w:p>
    <w:p>
      <w:pPr>
        <w:numPr>
          <w:ilvl w:val="0"/>
          <w:numId w:val="26"/>
        </w:numPr>
      </w:pPr>
      <w:r>
        <w:rPr/>
        <w:t>Énumérer les étiologies</w:t>
      </w:r>
      <w:r>
        <w:rPr/>
        <w:br/>
      </w:r>
    </w:p>
    <w:p>
      <w:pPr/>
    </w:p>
    <w:p>
      <w:pPr>
        <w:pStyle w:val="Heading1"/>
      </w:pPr>
      <w:r>
        <w:rPr/>
        <w:t>INTRODUCTION</w:t>
      </w:r>
    </w:p>
    <w:p>
      <w:pPr>
        <w:pStyle w:val="Heading2"/>
      </w:pPr>
      <w:r>
        <w:rPr/>
        <w:t>Définition :</w:t>
      </w:r>
    </w:p>
    <w:p>
      <w:pPr>
        <w:numPr>
          <w:ilvl w:val="1"/>
          <w:numId w:val="27"/>
        </w:numPr>
      </w:pPr>
      <w:r>
        <w:rPr/>
        <w:t xml:space="preserve">Selon l’OMS : émission d’au moins 3 selles molles ou liquides par </w:t>
      </w:r>
      <w:r>
        <w:rPr/>
        <w:t>jour ;</w:t>
      </w:r>
      <w:r>
        <w:rPr/>
        <w:t xml:space="preserve"> ou &gt; 300g/j, de durée &lt; 14 jours</w:t>
      </w:r>
    </w:p>
    <w:p>
      <w:pPr>
        <w:pStyle w:val="Heading2"/>
      </w:pPr>
      <w:r>
        <w:rPr/>
        <w:t>Intérêts :</w:t>
      </w:r>
    </w:p>
    <w:p>
      <w:pPr>
        <w:numPr>
          <w:ilvl w:val="1"/>
          <w:numId w:val="27"/>
        </w:numPr>
      </w:pPr>
      <w:r>
        <w:rPr/>
        <w:t>Très fréquent</w:t>
      </w:r>
    </w:p>
    <w:p>
      <w:pPr>
        <w:numPr>
          <w:ilvl w:val="1"/>
          <w:numId w:val="27"/>
        </w:numPr>
      </w:pPr>
      <w:r>
        <w:rPr/>
        <w:t xml:space="preserve">Gravité : déshydratation et perte d’électrolytes -&gt; </w:t>
      </w:r>
    </w:p>
    <w:p>
      <w:pPr/>
    </w:p>
    <w:p>
      <w:pPr>
        <w:pStyle w:val="Heading2"/>
      </w:pPr>
      <w:r>
        <w:rPr/>
        <w:t>PHYSIOPATHOLOGIE</w:t>
      </w:r>
    </w:p>
    <w:p>
      <w:pPr>
        <w:numPr>
          <w:ilvl w:val="0"/>
          <w:numId w:val="28"/>
        </w:numPr>
      </w:pPr>
      <w:r>
        <w:rPr/>
        <w:t>2 mécanismes :</w:t>
      </w:r>
    </w:p>
    <w:p>
      <w:pPr>
        <w:numPr>
          <w:ilvl w:val="1"/>
          <w:numId w:val="28"/>
        </w:numPr>
      </w:pPr>
      <w:r>
        <w:rPr>
          <w:b/>
        </w:rPr>
        <w:t>Sécrétoire</w:t>
      </w:r>
      <w:r>
        <w:rPr/>
        <w:t xml:space="preserve"> : </w:t>
      </w:r>
      <w:r>
        <w:rPr>
          <w:u w:val="single"/>
        </w:rPr>
        <w:t>diarrhée liquidienne</w:t>
      </w:r>
      <w:r>
        <w:rPr/>
        <w:t xml:space="preserve"> du fait de toxines sécrétés par des bactéries responsable de fuite d’eau et d’</w:t>
      </w:r>
      <w:r>
        <w:rPr/>
        <w:t>électrolyte</w:t>
      </w:r>
    </w:p>
    <w:p>
      <w:pPr>
        <w:numPr>
          <w:ilvl w:val="1"/>
          <w:numId w:val="28"/>
        </w:numPr>
      </w:pPr>
      <w:r>
        <w:rPr>
          <w:b/>
        </w:rPr>
        <w:t>Invasif</w:t>
      </w:r>
      <w:r>
        <w:rPr/>
        <w:t xml:space="preserve"> : </w:t>
      </w:r>
      <w:r>
        <w:rPr>
          <w:u w:val="single"/>
        </w:rPr>
        <w:t>diarrhée invasive</w:t>
      </w:r>
      <w:r>
        <w:rPr/>
        <w:t>, agent infectieux responsable d’inflammation et de lésion au niveau de la muqueuse</w:t>
      </w:r>
    </w:p>
    <w:p>
      <w:pPr/>
    </w:p>
    <w:p>
      <w:pPr>
        <w:pStyle w:val="Heading1"/>
      </w:pPr>
      <w:r>
        <w:rPr/>
        <w:t>DIAGNOSTIC</w:t>
      </w:r>
    </w:p>
    <w:p>
      <w:pPr>
        <w:pStyle w:val="Heading2"/>
        <w:numPr>
          <w:ilvl w:val="0"/>
          <w:numId w:val="73"/>
        </w:numPr>
      </w:pPr>
      <w:r>
        <w:rPr/>
        <w:t>DIAGNOSTIC POSITIF</w:t>
      </w:r>
    </w:p>
    <w:p>
      <w:pPr>
        <w:pStyle w:val="Heading3"/>
        <w:numPr>
          <w:ilvl w:val="0"/>
          <w:numId w:val="74"/>
        </w:numPr>
      </w:pPr>
      <w:r>
        <w:rPr/>
        <w:t>TDD : Diarrhée liquidienne</w:t>
      </w:r>
    </w:p>
    <w:p>
      <w:pPr>
        <w:pStyle w:val="Heading4"/>
        <w:numPr>
          <w:ilvl w:val="0"/>
          <w:numId w:val="75"/>
        </w:numPr>
      </w:pPr>
      <w:r>
        <w:rPr/>
        <w:t>Interrogatoire :</w:t>
      </w:r>
    </w:p>
    <w:p>
      <w:pPr>
        <w:numPr>
          <w:ilvl w:val="1"/>
          <w:numId w:val="29"/>
        </w:numPr>
      </w:pPr>
      <w:r>
        <w:rPr/>
        <w:t xml:space="preserve">Caractéristiques de la diarrhée : aqueuse et très abondante, </w:t>
      </w:r>
      <w:r>
        <w:rPr>
          <w:b/>
        </w:rPr>
        <w:t>pas de glaire ni de sang</w:t>
      </w:r>
    </w:p>
    <w:p>
      <w:pPr>
        <w:numPr>
          <w:ilvl w:val="1"/>
          <w:numId w:val="29"/>
        </w:numPr>
      </w:pPr>
      <w:r>
        <w:rPr/>
        <w:t>Signes associés : vomissements, nausées, douleur abdominale</w:t>
      </w:r>
    </w:p>
    <w:p>
      <w:pPr>
        <w:numPr>
          <w:ilvl w:val="1"/>
          <w:numId w:val="29"/>
        </w:numPr>
      </w:pPr>
      <w:r>
        <w:rPr/>
        <w:t xml:space="preserve">Circonstances de la diarrhée : </w:t>
      </w:r>
      <w:r>
        <w:rPr/>
        <w:t>notion d’épidémie</w:t>
      </w:r>
      <w:r>
        <w:rPr/>
      </w:r>
      <w:r>
        <w:rPr/>
        <w:t xml:space="preserve">? consommation d’aliments </w:t>
      </w:r>
      <w:r>
        <w:rPr/>
        <w:t>particuliers ?</w:t>
      </w:r>
      <w:r>
        <w:rPr/>
        <w:t xml:space="preserve"> </w:t>
      </w:r>
    </w:p>
    <w:p>
      <w:pPr>
        <w:numPr>
          <w:ilvl w:val="1"/>
          <w:numId w:val="29"/>
        </w:numPr>
      </w:pPr>
      <w:r>
        <w:rPr/>
        <w:t xml:space="preserve">Evaluer le terrain : </w:t>
      </w:r>
    </w:p>
    <w:p>
      <w:pPr>
        <w:numPr>
          <w:ilvl w:val="2"/>
          <w:numId w:val="29"/>
        </w:numPr>
      </w:pPr>
      <w:r>
        <w:rPr/>
        <w:t>Antécédents (immunodépression, tares viscérales : diabète, etc.)</w:t>
      </w:r>
      <w:r>
        <w:rPr/>
        <w:br/>
      </w:r>
    </w:p>
    <w:p>
      <w:pPr>
        <w:pStyle w:val="Heading4"/>
        <w:numPr>
          <w:ilvl w:val="0"/>
          <w:numId w:val="75"/>
        </w:numPr>
      </w:pPr>
      <w:r>
        <w:rPr/>
        <w:t>Examen</w:t>
      </w:r>
      <w:r>
        <w:rPr/>
        <w:t xml:space="preserve"> physique</w:t>
      </w:r>
    </w:p>
    <w:p>
      <w:pPr>
        <w:numPr>
          <w:ilvl w:val="1"/>
          <w:numId w:val="29"/>
        </w:numPr>
      </w:pPr>
      <w:r>
        <w:rPr/>
        <w:t xml:space="preserve">Fébrile ou </w:t>
      </w:r>
      <w:r>
        <w:rPr/>
        <w:t>non ?</w:t>
      </w:r>
    </w:p>
    <w:p>
      <w:pPr>
        <w:numPr>
          <w:ilvl w:val="1"/>
          <w:numId w:val="29"/>
        </w:numPr>
      </w:pPr>
      <w:r>
        <w:rPr/>
        <w:t>Signes de gravité : signes de déshydratation</w:t>
      </w:r>
    </w:p>
    <w:p>
      <w:pPr>
        <w:numPr>
          <w:ilvl w:val="1"/>
          <w:numId w:val="29"/>
        </w:numPr>
      </w:pPr>
      <w:r>
        <w:rPr/>
        <w:t>Signes extradigestifs</w:t>
      </w:r>
      <w:r>
        <w:rPr/>
        <w:br/>
      </w:r>
    </w:p>
    <w:p>
      <w:pPr>
        <w:pStyle w:val="Heading4"/>
        <w:numPr>
          <w:ilvl w:val="0"/>
          <w:numId w:val="75"/>
        </w:numPr>
      </w:pPr>
      <w:r>
        <w:rPr/>
        <w:t>Examens</w:t>
      </w:r>
      <w:r>
        <w:rPr/>
        <w:t xml:space="preserve"> paracliniques</w:t>
      </w:r>
      <w:r>
        <w:rPr/>
        <w:t xml:space="preserve"> : non systématique</w:t>
      </w:r>
    </w:p>
    <w:p>
      <w:pPr>
        <w:numPr>
          <w:ilvl w:val="1"/>
          <w:numId w:val="29"/>
        </w:numPr>
      </w:pPr>
      <w:r>
        <w:rPr/>
        <w:t>Demandés devant une diarrhée avec signes de gravité (déshydratation voire choc hypovolémique)</w:t>
      </w:r>
    </w:p>
    <w:p>
      <w:pPr>
        <w:numPr>
          <w:ilvl w:val="1"/>
          <w:numId w:val="29"/>
        </w:numPr>
      </w:pPr>
      <w:r>
        <w:rPr/>
        <w:t>Mauvaise tolérance</w:t>
      </w:r>
    </w:p>
    <w:p>
      <w:pPr>
        <w:numPr>
          <w:ilvl w:val="1"/>
          <w:numId w:val="29"/>
        </w:numPr>
      </w:pPr>
      <w:r>
        <w:rPr/>
        <w:t>Diarrhée durant plusieurs jours (</w:t>
      </w:r>
      <w:r>
        <w:rPr>
          <w:i/>
        </w:rPr>
        <w:t xml:space="preserve">sous traitement, &gt; 72 </w:t>
      </w:r>
      <w:r>
        <w:rPr>
          <w:i/>
        </w:rPr>
        <w:t>heures ;)</w:t>
      </w:r>
    </w:p>
    <w:p>
      <w:pPr>
        <w:numPr>
          <w:ilvl w:val="1"/>
          <w:numId w:val="29"/>
        </w:numPr>
      </w:pPr>
      <w:r>
        <w:rPr/>
        <w:t>Notion d’épidémie : afin d’identifier le germe en cause</w:t>
      </w:r>
      <w:r>
        <w:rPr/>
        <w:br/>
      </w:r>
      <w:r>
        <w:rPr/>
        <w:br/>
      </w:r>
    </w:p>
    <w:p>
      <w:pPr>
        <w:numPr>
          <w:ilvl w:val="1"/>
          <w:numId w:val="29"/>
        </w:numPr>
      </w:pPr>
      <w:r>
        <w:rPr>
          <w:b/>
        </w:rPr>
        <w:t>Bilan de retentissement</w:t>
      </w:r>
    </w:p>
    <w:p>
      <w:pPr>
        <w:numPr>
          <w:ilvl w:val="2"/>
          <w:numId w:val="29"/>
        </w:numPr>
      </w:pPr>
      <w:r>
        <w:rPr/>
        <w:t>Ionogramme sanguin (hypokaliémie, hyponatrémie, hypernatrémie en cas de déshydratation intracellulaire)</w:t>
      </w:r>
    </w:p>
    <w:p>
      <w:pPr>
        <w:numPr>
          <w:ilvl w:val="2"/>
          <w:numId w:val="29"/>
        </w:numPr>
      </w:pPr>
      <w:r>
        <w:rPr/>
        <w:t>Bilan rénal (créatininémie, urée) : insuffisance rénale fonctionnelle</w:t>
      </w:r>
    </w:p>
    <w:p>
      <w:pPr>
        <w:numPr>
          <w:ilvl w:val="2"/>
          <w:numId w:val="29"/>
        </w:numPr>
      </w:pPr>
      <w:r>
        <w:rPr/>
        <w:t>Bilan inflammatoire : hémogramme, CRP</w:t>
      </w:r>
    </w:p>
    <w:p>
      <w:pPr>
        <w:numPr>
          <w:ilvl w:val="1"/>
          <w:numId w:val="29"/>
        </w:numPr>
      </w:pPr>
      <w:r>
        <w:rPr>
          <w:b/>
        </w:rPr>
        <w:t>Bilan étiologique :</w:t>
      </w:r>
    </w:p>
    <w:p>
      <w:pPr>
        <w:numPr>
          <w:ilvl w:val="2"/>
          <w:numId w:val="29"/>
        </w:numPr>
      </w:pPr>
      <w:r>
        <w:rPr/>
        <w:t>Coproculture (</w:t>
      </w:r>
      <w:r>
        <w:rPr>
          <w:i/>
        </w:rPr>
        <w:t>sur des selles fraîchement émises)</w:t>
      </w:r>
    </w:p>
    <w:p>
      <w:pPr>
        <w:numPr>
          <w:ilvl w:val="2"/>
          <w:numId w:val="29"/>
        </w:numPr>
      </w:pPr>
      <w:r>
        <w:rPr/>
        <w:t>Examen parasitologique des selles KAOP</w:t>
      </w:r>
    </w:p>
    <w:p>
      <w:pPr>
        <w:numPr>
          <w:ilvl w:val="2"/>
          <w:numId w:val="29"/>
        </w:numPr>
      </w:pPr>
      <w:r>
        <w:rPr/>
        <w:t>Examen sérologique interprété selon la clinique (Vidal-Felix, yersiniose)</w:t>
      </w:r>
    </w:p>
    <w:p>
      <w:pPr>
        <w:numPr>
          <w:ilvl w:val="2"/>
          <w:numId w:val="29"/>
        </w:numPr>
      </w:pPr>
      <w:r>
        <w:rPr/>
        <w:t>Rectoscopie : ex, chez les PVVIH</w:t>
      </w:r>
    </w:p>
    <w:p>
      <w:pPr/>
    </w:p>
    <w:p>
      <w:pPr>
        <w:pStyle w:val="Heading2"/>
        <w:numPr>
          <w:ilvl w:val="0"/>
          <w:numId w:val="73"/>
        </w:numPr>
      </w:pPr>
      <w:r>
        <w:rPr/>
        <w:t>DIAGNOSTIC DE GRAVITE</w:t>
      </w:r>
      <w:r>
        <w:rPr/>
        <w:t xml:space="preserve"> </w:t>
      </w:r>
    </w:p>
    <w:p>
      <w:pPr>
        <w:numPr>
          <w:ilvl w:val="0"/>
          <w:numId w:val="30"/>
        </w:numPr>
      </w:pPr>
      <w:r>
        <w:rPr>
          <w:b/>
        </w:rPr>
        <w:t>Déshydratation</w:t>
      </w:r>
    </w:p>
    <w:p>
      <w:pPr>
        <w:numPr>
          <w:ilvl w:val="1"/>
          <w:numId w:val="30"/>
        </w:numPr>
      </w:pPr>
      <w:r>
        <w:rPr/>
        <w:t>Déshydratation extracellulaire : signe du pli</w:t>
      </w:r>
    </w:p>
    <w:p>
      <w:pPr>
        <w:numPr>
          <w:ilvl w:val="1"/>
          <w:numId w:val="30"/>
        </w:numPr>
      </w:pPr>
      <w:r>
        <w:rPr/>
        <w:t>Déshydratation intracellulaire : soif, fièvre, sècheresse des muqueuses</w:t>
      </w:r>
    </w:p>
    <w:p>
      <w:pPr>
        <w:numPr>
          <w:ilvl w:val="0"/>
          <w:numId w:val="30"/>
        </w:numPr>
      </w:pPr>
      <w:r>
        <w:rPr>
          <w:b/>
        </w:rPr>
        <w:t xml:space="preserve">Etat de choc </w:t>
      </w:r>
    </w:p>
    <w:p>
      <w:pPr>
        <w:numPr>
          <w:ilvl w:val="1"/>
          <w:numId w:val="30"/>
        </w:numPr>
      </w:pPr>
      <w:r>
        <w:rPr/>
        <w:t>Hypovolémique</w:t>
      </w:r>
    </w:p>
    <w:p>
      <w:pPr>
        <w:numPr>
          <w:ilvl w:val="1"/>
          <w:numId w:val="30"/>
        </w:numPr>
      </w:pPr>
      <w:r>
        <w:rPr/>
        <w:t xml:space="preserve">Septique </w:t>
      </w:r>
    </w:p>
    <w:p>
      <w:pPr>
        <w:numPr>
          <w:ilvl w:val="0"/>
          <w:numId w:val="30"/>
        </w:numPr>
      </w:pPr>
      <w:r>
        <w:rPr>
          <w:b/>
        </w:rPr>
        <w:t>Terrain :</w:t>
      </w:r>
    </w:p>
    <w:p>
      <w:pPr>
        <w:numPr>
          <w:ilvl w:val="1"/>
          <w:numId w:val="30"/>
        </w:numPr>
      </w:pPr>
      <w:r>
        <w:rPr/>
        <w:t>Personnes âgées</w:t>
      </w:r>
    </w:p>
    <w:p>
      <w:pPr>
        <w:numPr>
          <w:ilvl w:val="1"/>
          <w:numId w:val="30"/>
        </w:numPr>
      </w:pPr>
      <w:r>
        <w:rPr/>
        <w:t>Tares (cirrhotique sans correction des troubles hydro-électrolytique -&gt; risque de développer un Syndrome hépato-rénal et en mourir)</w:t>
      </w:r>
    </w:p>
    <w:p>
      <w:pPr>
        <w:numPr>
          <w:ilvl w:val="1"/>
          <w:numId w:val="30"/>
        </w:numPr>
      </w:pPr>
      <w:r>
        <w:rPr/>
        <w:t>Diarrhée &gt; 1 semaine</w:t>
      </w:r>
    </w:p>
    <w:p>
      <w:pPr/>
    </w:p>
    <w:p>
      <w:pPr>
        <w:pStyle w:val="Heading2"/>
        <w:numPr>
          <w:ilvl w:val="0"/>
          <w:numId w:val="73"/>
        </w:numPr>
      </w:pPr>
      <w:r>
        <w:rPr/>
        <w:t>DIAGNOSTIC ETIOLOGIQUE</w:t>
      </w:r>
    </w:p>
    <w:p>
      <w:pPr>
        <w:pStyle w:val="Heading3"/>
      </w:pPr>
      <w:r>
        <w:rPr/>
        <w:t xml:space="preserve">Surtout infectieuse </w:t>
      </w:r>
    </w:p>
    <w:p>
      <w:pPr>
        <w:pStyle w:val="Heading4"/>
        <w:numPr>
          <w:ilvl w:val="0"/>
          <w:numId w:val="76"/>
        </w:numPr>
      </w:pPr>
      <w:r>
        <w:rPr/>
        <w:t>Bactérienne :</w:t>
      </w:r>
    </w:p>
    <w:p>
      <w:pPr>
        <w:numPr>
          <w:ilvl w:val="2"/>
          <w:numId w:val="31"/>
        </w:numPr>
      </w:pPr>
      <w:r>
        <w:rPr/>
        <w:t>Escherichia coli entérotoxinogène (</w:t>
      </w:r>
      <w:r>
        <w:rPr>
          <w:i/>
        </w:rPr>
        <w:t xml:space="preserve">turista = diarrhée du voyageur : personnes qui vivent dans un pays </w:t>
      </w:r>
      <w:r>
        <w:rPr>
          <w:i/>
        </w:rPr>
        <w:t>développé</w:t>
      </w:r>
      <w:r>
        <w:rPr>
          <w:i/>
        </w:rPr>
        <w:t xml:space="preserve">, passe dans un pays tropical -&gt; ingestion d’eau souillé par E. Coli). </w:t>
      </w:r>
    </w:p>
    <w:p>
      <w:pPr>
        <w:numPr>
          <w:ilvl w:val="3"/>
          <w:numId w:val="31"/>
        </w:numPr>
      </w:pPr>
      <w:r>
        <w:rPr/>
        <w:t>Incubation : 24 - 48h après contamination</w:t>
      </w:r>
    </w:p>
    <w:p>
      <w:pPr>
        <w:numPr>
          <w:ilvl w:val="3"/>
          <w:numId w:val="31"/>
        </w:numPr>
      </w:pPr>
      <w:r>
        <w:rPr/>
        <w:t xml:space="preserve">Le plus souvent </w:t>
      </w:r>
      <w:r>
        <w:rPr>
          <w:b/>
        </w:rPr>
        <w:t>apyrétique</w:t>
      </w:r>
    </w:p>
    <w:p>
      <w:pPr>
        <w:numPr>
          <w:ilvl w:val="2"/>
          <w:numId w:val="31"/>
        </w:numPr>
      </w:pPr>
      <w:r>
        <w:rPr>
          <w:b/>
        </w:rPr>
        <w:t>Choléra :</w:t>
      </w:r>
      <w:r>
        <w:rPr/>
        <w:t xml:space="preserve"> ingestion d’eau et aliments souillés par déjection de personnes contaminées</w:t>
      </w:r>
    </w:p>
    <w:p>
      <w:pPr>
        <w:numPr>
          <w:ilvl w:val="3"/>
          <w:numId w:val="31"/>
        </w:numPr>
      </w:pPr>
      <w:r>
        <w:rPr/>
        <w:t>Incubation 2-7 j</w:t>
      </w:r>
    </w:p>
    <w:p>
      <w:pPr>
        <w:numPr>
          <w:ilvl w:val="3"/>
          <w:numId w:val="31"/>
        </w:numPr>
      </w:pPr>
      <w:r>
        <w:rPr/>
        <w:t>Diarrhée abondante en “eau de riz”</w:t>
      </w:r>
    </w:p>
    <w:p>
      <w:pPr>
        <w:numPr>
          <w:ilvl w:val="3"/>
          <w:numId w:val="31"/>
        </w:numPr>
      </w:pPr>
      <w:r>
        <w:rPr/>
        <w:t>Décès par déshydratation massive avec état de choc</w:t>
      </w:r>
    </w:p>
    <w:p>
      <w:pPr>
        <w:numPr>
          <w:ilvl w:val="2"/>
          <w:numId w:val="31"/>
        </w:numPr>
      </w:pPr>
      <w:r>
        <w:rPr>
          <w:b/>
        </w:rPr>
        <w:t xml:space="preserve">Staphylocoque </w:t>
      </w:r>
      <w:r>
        <w:rPr/>
        <w:t>: aliments souillés par quelqu’un qui a une infection à Staphylocoque, le plus souvent patient avec furoncle sur les mains et préparant les aliments</w:t>
      </w:r>
    </w:p>
    <w:p>
      <w:pPr>
        <w:numPr>
          <w:ilvl w:val="3"/>
          <w:numId w:val="31"/>
        </w:numPr>
      </w:pPr>
      <w:r>
        <w:rPr/>
        <w:t xml:space="preserve">Incubation très courte : symptômes en 1 h, </w:t>
      </w:r>
      <w:r>
        <w:rPr>
          <w:b/>
        </w:rPr>
        <w:t>apyrétique</w:t>
      </w:r>
    </w:p>
    <w:p>
      <w:pPr>
        <w:numPr>
          <w:ilvl w:val="2"/>
          <w:numId w:val="31"/>
        </w:numPr>
      </w:pPr>
      <w:r>
        <w:rPr>
          <w:b/>
        </w:rPr>
        <w:t xml:space="preserve">Salmonelles mineures </w:t>
      </w:r>
      <w:r>
        <w:rPr/>
        <w:t>: dans les viandes préparées, laitages</w:t>
      </w:r>
    </w:p>
    <w:p>
      <w:pPr>
        <w:numPr>
          <w:ilvl w:val="3"/>
          <w:numId w:val="31"/>
        </w:numPr>
      </w:pPr>
      <w:r>
        <w:rPr/>
        <w:t>Incubation : 8 à 48 heures</w:t>
      </w:r>
    </w:p>
    <w:p>
      <w:pPr>
        <w:numPr>
          <w:ilvl w:val="3"/>
          <w:numId w:val="31"/>
        </w:numPr>
      </w:pPr>
      <w:r>
        <w:rPr/>
        <w:t>Diarrhée dysentériforme (</w:t>
      </w:r>
      <w:r>
        <w:rPr>
          <w:i/>
        </w:rPr>
        <w:t>comme E. Coli)</w:t>
      </w:r>
    </w:p>
    <w:p>
      <w:pPr>
        <w:numPr>
          <w:ilvl w:val="2"/>
          <w:numId w:val="31"/>
        </w:numPr>
      </w:pPr>
      <w:r>
        <w:rPr>
          <w:b/>
          <w:i/>
        </w:rPr>
        <w:t>Clostridium perfringens</w:t>
      </w:r>
      <w:r>
        <w:rPr>
          <w:i/>
        </w:rPr>
        <w:t xml:space="preserve"> : </w:t>
      </w:r>
      <w:r>
        <w:rPr/>
        <w:t xml:space="preserve"> toxi-infection alimentaire collective</w:t>
      </w:r>
    </w:p>
    <w:p>
      <w:pPr>
        <w:numPr>
          <w:ilvl w:val="3"/>
          <w:numId w:val="31"/>
        </w:numPr>
      </w:pPr>
      <w:r>
        <w:rPr/>
        <w:t>Viandes sauces chauffées (cuites la veille)</w:t>
      </w:r>
    </w:p>
    <w:p>
      <w:pPr>
        <w:numPr>
          <w:ilvl w:val="3"/>
          <w:numId w:val="31"/>
        </w:numPr>
      </w:pPr>
      <w:r>
        <w:rPr/>
        <w:t>Incubation : 8 à 12h</w:t>
      </w:r>
    </w:p>
    <w:p>
      <w:pPr>
        <w:numPr>
          <w:ilvl w:val="3"/>
          <w:numId w:val="31"/>
        </w:numPr>
      </w:pPr>
      <w:r>
        <w:rPr/>
        <w:t xml:space="preserve">Il peut y avoir </w:t>
      </w:r>
      <w:r>
        <w:rPr>
          <w:b/>
        </w:rPr>
        <w:t>de la fièvre</w:t>
      </w:r>
      <w:r>
        <w:rPr>
          <w:b/>
        </w:rPr>
        <w:br/>
      </w:r>
    </w:p>
    <w:p>
      <w:pPr>
        <w:pStyle w:val="Heading4"/>
        <w:numPr>
          <w:ilvl w:val="0"/>
          <w:numId w:val="76"/>
        </w:numPr>
      </w:pPr>
      <w:r>
        <w:rPr/>
        <w:t>Virale</w:t>
      </w:r>
      <w:r>
        <w:rPr/>
        <w:t xml:space="preserve"> :</w:t>
      </w:r>
    </w:p>
    <w:p>
      <w:pPr>
        <w:numPr>
          <w:ilvl w:val="2"/>
          <w:numId w:val="31"/>
        </w:numPr>
      </w:pPr>
      <w:r>
        <w:rPr/>
        <w:t xml:space="preserve">Rotavirus +++, Entérovirus, Adénovirus </w:t>
      </w:r>
    </w:p>
    <w:p>
      <w:pPr>
        <w:numPr>
          <w:ilvl w:val="2"/>
          <w:numId w:val="31"/>
        </w:numPr>
      </w:pPr>
      <w:r>
        <w:rPr>
          <w:b/>
        </w:rPr>
        <w:t>Association d’un syndrome pseudo-grippal et d’une diarrhée (</w:t>
      </w:r>
      <w:r>
        <w:rPr>
          <w:b/>
          <w:i/>
        </w:rPr>
        <w:t>comme SARS-Cov 2)</w:t>
      </w:r>
    </w:p>
    <w:p>
      <w:pPr>
        <w:numPr>
          <w:ilvl w:val="2"/>
          <w:numId w:val="31"/>
        </w:numPr>
      </w:pPr>
      <w:r>
        <w:rPr>
          <w:b/>
        </w:rPr>
        <w:t>Aspect épidémique</w:t>
      </w:r>
      <w:r>
        <w:rPr>
          <w:b/>
        </w:rPr>
        <w:br/>
      </w:r>
    </w:p>
    <w:p>
      <w:pPr>
        <w:pStyle w:val="Heading4"/>
        <w:numPr>
          <w:ilvl w:val="0"/>
          <w:numId w:val="76"/>
        </w:numPr>
      </w:pPr>
      <w:r>
        <w:rPr/>
        <w:t>Parasitaire</w:t>
      </w:r>
      <w:r>
        <w:rPr/>
        <w:t xml:space="preserve"> :</w:t>
      </w:r>
    </w:p>
    <w:p>
      <w:pPr>
        <w:numPr>
          <w:ilvl w:val="2"/>
          <w:numId w:val="31"/>
        </w:numPr>
      </w:pPr>
      <w:r>
        <w:rPr/>
        <w:t xml:space="preserve">Chez </w:t>
      </w:r>
      <w:r>
        <w:rPr/>
        <w:t>les personnes immunodéprimées</w:t>
      </w:r>
      <w:r>
        <w:rPr/>
        <w:t xml:space="preserve"> : cryptococcose</w:t>
      </w:r>
      <w:r>
        <w:rPr/>
        <w:br/>
      </w:r>
    </w:p>
    <w:p>
      <w:pPr>
        <w:pStyle w:val="Heading3"/>
      </w:pPr>
      <w:r>
        <w:rPr/>
        <w:t xml:space="preserve">D’origine iatrogène </w:t>
      </w:r>
      <w:r>
        <w:rPr>
          <w:b w:val="0"/>
          <w:color w:val="000000"/>
          <w:u w:val="none"/>
        </w:rPr>
        <w:t>: colchicine, laxatifs, biguanides (</w:t>
      </w:r>
      <w:r>
        <w:rPr>
          <w:b w:val="0"/>
          <w:color w:val="000000"/>
          <w:u w:val="none"/>
        </w:rPr>
        <w:t>metformine, ...</w:t>
      </w:r>
      <w:r>
        <w:rPr>
          <w:b w:val="0"/>
          <w:color w:val="000000"/>
          <w:u w:val="none"/>
        </w:rPr>
        <w:t>)</w:t>
      </w:r>
    </w:p>
    <w:p>
      <w:pPr>
        <w:pStyle w:val="Heading1"/>
      </w:pPr>
      <w:r>
        <w:rPr/>
        <w:t>CONCLUSION</w:t>
      </w:r>
    </w:p>
    <w:p>
      <w:pPr>
        <w:numPr>
          <w:ilvl w:val="0"/>
          <w:numId w:val="32"/>
        </w:numPr>
      </w:pPr>
      <w:r>
        <w:rPr/>
        <w:t>Diarrhée hydroélectrolytique : aqueuse, abondante, sans glaire ni sang</w:t>
      </w:r>
    </w:p>
    <w:p>
      <w:pPr>
        <w:numPr>
          <w:ilvl w:val="0"/>
          <w:numId w:val="32"/>
        </w:numPr>
      </w:pPr>
      <w:r>
        <w:rPr/>
        <w:t>Physiopathologique : hydroélectrolytique et invasif</w:t>
      </w:r>
    </w:p>
    <w:p>
      <w:pPr>
        <w:numPr>
          <w:ilvl w:val="0"/>
          <w:numId w:val="32"/>
        </w:numPr>
      </w:pPr>
      <w:r>
        <w:rPr/>
        <w:t xml:space="preserve">Première cause chez </w:t>
      </w:r>
      <w:r>
        <w:rPr/>
        <w:t>l’adulte :</w:t>
      </w:r>
      <w:r>
        <w:rPr/>
        <w:t xml:space="preserve"> infectieuse, surtout bactérienne</w:t>
      </w:r>
    </w:p>
    <w:p>
      <w:pPr>
        <w:spacing w:after="200"/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