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DYSENTERIE</w:t>
      </w:r>
    </w:p>
    <w:p>
      <w:pPr/>
    </w:p>
    <w:p>
      <w:pPr>
        <w:pStyle w:val="Heading1"/>
      </w:pPr>
      <w:r>
        <w:rPr/>
        <w:t>INTRODUCTION</w:t>
      </w:r>
    </w:p>
    <w:p>
      <w:pPr>
        <w:pStyle w:val="Heading2"/>
      </w:pPr>
      <w:r>
        <w:rPr/>
        <w:t>Définition :</w:t>
      </w:r>
    </w:p>
    <w:p>
      <w:pPr>
        <w:numPr>
          <w:ilvl w:val="1"/>
          <w:numId w:val="33"/>
        </w:numPr>
      </w:pPr>
      <w:r>
        <w:rPr/>
        <w:t xml:space="preserve">Un syndrome dysentérique traduit une inflammation du côlon et du rectum </w:t>
      </w:r>
      <w:r>
        <w:rPr>
          <w:i/>
        </w:rPr>
        <w:t>d’où la présence de sang et de glaire</w:t>
      </w:r>
    </w:p>
    <w:p>
      <w:pPr>
        <w:pStyle w:val="Heading2"/>
      </w:pPr>
      <w:r>
        <w:rPr/>
        <w:t>Intérêts :</w:t>
      </w:r>
    </w:p>
    <w:p>
      <w:pPr>
        <w:numPr>
          <w:ilvl w:val="1"/>
          <w:numId w:val="33"/>
        </w:numPr>
      </w:pPr>
      <w:r>
        <w:rPr/>
        <w:t>Pathologie fréquente en milieu tropical</w:t>
      </w:r>
    </w:p>
    <w:p>
      <w:pPr>
        <w:numPr>
          <w:ilvl w:val="1"/>
          <w:numId w:val="33"/>
        </w:numPr>
      </w:pPr>
      <w:r>
        <w:rPr/>
        <w:t>Peut être un signe révélateur de maladie grave : néoplasie</w:t>
      </w:r>
    </w:p>
    <w:p>
      <w:pPr/>
    </w:p>
    <w:p>
      <w:pPr>
        <w:pStyle w:val="Heading1"/>
      </w:pPr>
      <w:r>
        <w:rPr/>
        <w:t>DIAGNOSTIC</w:t>
      </w:r>
    </w:p>
    <w:p>
      <w:pPr>
        <w:pStyle w:val="Heading2"/>
        <w:numPr>
          <w:ilvl w:val="0"/>
          <w:numId w:val="77"/>
        </w:numPr>
      </w:pPr>
      <w:r>
        <w:rPr/>
        <w:t>DIAGNOSTIC POSITIF</w:t>
      </w:r>
    </w:p>
    <w:p>
      <w:pPr>
        <w:pStyle w:val="Heading3"/>
        <w:numPr>
          <w:ilvl w:val="0"/>
          <w:numId w:val="78"/>
        </w:numPr>
      </w:pPr>
      <w:r>
        <w:rPr/>
        <w:t>Signes cliniques :</w:t>
      </w:r>
    </w:p>
    <w:p>
      <w:pPr>
        <w:numPr>
          <w:ilvl w:val="1"/>
          <w:numId w:val="34"/>
        </w:numPr>
      </w:pPr>
      <w:r>
        <w:rPr>
          <w:b/>
        </w:rPr>
        <w:t>Formes typiques : triade</w:t>
      </w:r>
    </w:p>
    <w:p>
      <w:pPr>
        <w:numPr>
          <w:ilvl w:val="2"/>
          <w:numId w:val="34"/>
        </w:numPr>
      </w:pPr>
      <w:r>
        <w:rPr/>
        <w:t xml:space="preserve">Epreinte : </w:t>
      </w:r>
      <w:r>
        <w:rPr>
          <w:i/>
        </w:rPr>
        <w:t>manotika</w:t>
      </w:r>
    </w:p>
    <w:p>
      <w:pPr>
        <w:numPr>
          <w:ilvl w:val="2"/>
          <w:numId w:val="34"/>
        </w:numPr>
      </w:pPr>
      <w:r>
        <w:rPr/>
        <w:t>Ténesme</w:t>
      </w:r>
    </w:p>
    <w:p>
      <w:pPr>
        <w:numPr>
          <w:ilvl w:val="2"/>
          <w:numId w:val="34"/>
        </w:numPr>
      </w:pPr>
      <w:r>
        <w:rPr/>
        <w:t>Selles glaireuses et sanguinolentes</w:t>
      </w:r>
      <w:r>
        <w:rPr/>
        <w:br/>
      </w:r>
      <w:r>
        <w:rPr/>
        <w:br/>
      </w:r>
    </w:p>
    <w:p>
      <w:pPr>
        <w:pStyle w:val="Heading4"/>
      </w:pPr>
      <w:r>
        <w:rPr/>
        <w:t xml:space="preserve">Epreinte : </w:t>
      </w:r>
    </w:p>
    <w:p>
      <w:pPr>
        <w:numPr>
          <w:ilvl w:val="3"/>
          <w:numId w:val="34"/>
        </w:numPr>
      </w:pPr>
      <w:r>
        <w:rPr/>
        <w:t>Douleur abdominale</w:t>
      </w:r>
    </w:p>
    <w:p>
      <w:pPr>
        <w:numPr>
          <w:ilvl w:val="3"/>
          <w:numId w:val="34"/>
        </w:numPr>
      </w:pPr>
      <w:r>
        <w:rPr/>
        <w:t>Siège : cadre colique</w:t>
      </w:r>
    </w:p>
    <w:p>
      <w:pPr>
        <w:numPr>
          <w:ilvl w:val="3"/>
          <w:numId w:val="34"/>
        </w:numPr>
      </w:pPr>
      <w:r>
        <w:rPr/>
        <w:t>Exacerbation : FID -&gt; sphincter anal</w:t>
      </w:r>
    </w:p>
    <w:p>
      <w:pPr>
        <w:numPr>
          <w:ilvl w:val="3"/>
          <w:numId w:val="34"/>
        </w:numPr>
      </w:pPr>
      <w:r>
        <w:rPr/>
        <w:t>Paroxystique</w:t>
      </w:r>
    </w:p>
    <w:p>
      <w:pPr>
        <w:numPr>
          <w:ilvl w:val="3"/>
          <w:numId w:val="34"/>
        </w:numPr>
      </w:pPr>
      <w:r>
        <w:rPr/>
        <w:t>+ envie impérieuse d’aller à la selle</w:t>
      </w:r>
    </w:p>
    <w:p>
      <w:pPr>
        <w:numPr>
          <w:ilvl w:val="3"/>
          <w:numId w:val="34"/>
        </w:numPr>
      </w:pPr>
      <w:r>
        <w:rPr/>
        <w:t>Soulagée par l’émission des selles</w:t>
      </w:r>
    </w:p>
    <w:p>
      <w:pPr>
        <w:pStyle w:val="Heading4"/>
      </w:pPr>
      <w:r>
        <w:rPr/>
        <w:t>Ténesme :</w:t>
      </w:r>
    </w:p>
    <w:p>
      <w:pPr>
        <w:numPr>
          <w:ilvl w:val="3"/>
          <w:numId w:val="34"/>
        </w:numPr>
      </w:pPr>
      <w:r>
        <w:rPr/>
        <w:t>Sensation douloureuse de tension du sphincter anal</w:t>
      </w:r>
    </w:p>
    <w:p>
      <w:pPr>
        <w:numPr>
          <w:ilvl w:val="3"/>
          <w:numId w:val="34"/>
        </w:numPr>
      </w:pPr>
      <w:r>
        <w:rPr/>
        <w:t>Avec une sensation de corps étranger rectal</w:t>
      </w:r>
    </w:p>
    <w:p>
      <w:pPr>
        <w:numPr>
          <w:ilvl w:val="3"/>
          <w:numId w:val="34"/>
        </w:numPr>
      </w:pPr>
      <w:r>
        <w:rPr/>
        <w:t>Avec sensation de faux besoin incessant (</w:t>
      </w:r>
      <w:r>
        <w:rPr>
          <w:i/>
        </w:rPr>
        <w:t>tsisy ininona latsaka fa na rà kely na glaire kely fotsiny no mandeha)</w:t>
      </w:r>
    </w:p>
    <w:p>
      <w:pPr>
        <w:pStyle w:val="Heading4"/>
      </w:pPr>
      <w:r>
        <w:rPr/>
        <w:t>Selles modifiées :</w:t>
      </w:r>
    </w:p>
    <w:p>
      <w:pPr>
        <w:numPr>
          <w:ilvl w:val="3"/>
          <w:numId w:val="34"/>
        </w:numPr>
      </w:pPr>
      <w:r>
        <w:rPr/>
        <w:t>Selles glaireuses, sanguinolentes, parfois mucopurulentes</w:t>
      </w:r>
    </w:p>
    <w:p>
      <w:pPr>
        <w:numPr>
          <w:ilvl w:val="3"/>
          <w:numId w:val="34"/>
        </w:numPr>
      </w:pPr>
      <w:r>
        <w:rPr/>
        <w:t>Afécales</w:t>
      </w:r>
    </w:p>
    <w:p>
      <w:pPr>
        <w:numPr>
          <w:ilvl w:val="3"/>
          <w:numId w:val="34"/>
        </w:numPr>
      </w:pPr>
      <w:r>
        <w:rPr/>
        <w:t>Odeur fade non fétide</w:t>
      </w:r>
    </w:p>
    <w:p>
      <w:pPr>
        <w:numPr>
          <w:ilvl w:val="3"/>
          <w:numId w:val="34"/>
        </w:numPr>
      </w:pPr>
      <w:r>
        <w:rPr/>
        <w:t>5 - 15 selles par jour voire plus</w:t>
      </w:r>
    </w:p>
    <w:p>
      <w:pPr>
        <w:pStyle w:val="Heading3"/>
        <w:numPr>
          <w:ilvl w:val="0"/>
          <w:numId w:val="78"/>
        </w:numPr>
      </w:pPr>
      <w:r>
        <w:rPr/>
        <w:t xml:space="preserve">Signes </w:t>
      </w:r>
      <w:r>
        <w:rPr/>
        <w:t>paracliniques</w:t>
      </w:r>
      <w:r>
        <w:rPr/>
        <w:t xml:space="preserve"> :</w:t>
      </w:r>
    </w:p>
    <w:p>
      <w:pPr>
        <w:numPr>
          <w:ilvl w:val="2"/>
          <w:numId w:val="34"/>
        </w:numPr>
      </w:pPr>
      <w:r>
        <w:rPr/>
        <w:t>En fonction de l’étiologie, Cf. Diarrhée aiguë de l’adulte (retentissement)</w:t>
      </w:r>
    </w:p>
    <w:p>
      <w:pPr/>
    </w:p>
    <w:p>
      <w:pPr>
        <w:pStyle w:val="Heading1"/>
      </w:pPr>
      <w:r>
        <w:rPr/>
        <w:t>DIAGNOSTIC ETIOLOGIQUE</w:t>
      </w:r>
    </w:p>
    <w:p>
      <w:pPr>
        <w:numPr>
          <w:ilvl w:val="0"/>
          <w:numId w:val="35"/>
        </w:numPr>
      </w:pPr>
      <w:r>
        <w:rPr>
          <w:b/>
        </w:rPr>
        <w:t>Approche : 2 catégories (</w:t>
      </w:r>
      <w:r>
        <w:rPr>
          <w:i/>
        </w:rPr>
        <w:t>selon la présence de fièvre ou non)</w:t>
      </w:r>
    </w:p>
    <w:p>
      <w:pPr>
        <w:numPr>
          <w:ilvl w:val="0"/>
          <w:numId w:val="35"/>
        </w:numPr>
      </w:pPr>
      <w:r>
        <w:rPr/>
        <w:t xml:space="preserve">Syndrome dysentérique fébrile : Bactérienne : </w:t>
      </w:r>
      <w:r>
        <w:rPr>
          <w:b/>
        </w:rPr>
        <w:t>shigelloses +++</w:t>
      </w:r>
    </w:p>
    <w:p>
      <w:pPr>
        <w:numPr>
          <w:ilvl w:val="0"/>
          <w:numId w:val="35"/>
        </w:numPr>
      </w:pPr>
      <w:r>
        <w:rPr/>
        <w:t>Syndrome dysentérique non fébrile :</w:t>
      </w:r>
    </w:p>
    <w:p>
      <w:pPr>
        <w:numPr>
          <w:ilvl w:val="1"/>
          <w:numId w:val="35"/>
        </w:numPr>
      </w:pPr>
      <w:r>
        <w:rPr>
          <w:b/>
        </w:rPr>
        <w:t>Dysenterie</w:t>
      </w:r>
      <w:r>
        <w:rPr>
          <w:b/>
        </w:rPr>
        <w:t xml:space="preserve"> amibienne</w:t>
      </w:r>
    </w:p>
    <w:p>
      <w:pPr>
        <w:numPr>
          <w:ilvl w:val="1"/>
          <w:numId w:val="35"/>
        </w:numPr>
      </w:pPr>
      <w:r>
        <w:rPr>
          <w:b/>
        </w:rPr>
        <w:t>Dysenterie</w:t>
      </w:r>
      <w:r>
        <w:rPr>
          <w:b/>
        </w:rPr>
        <w:t xml:space="preserve"> bilharzienne</w:t>
      </w:r>
    </w:p>
    <w:p>
      <w:pPr>
        <w:numPr>
          <w:ilvl w:val="1"/>
          <w:numId w:val="35"/>
        </w:numPr>
      </w:pPr>
      <w:r>
        <w:rPr>
          <w:b/>
        </w:rPr>
        <w:t>Tumorale</w:t>
      </w:r>
      <w:r>
        <w:rPr/>
      </w:r>
      <w:r>
        <w:rPr>
          <w:b/>
        </w:rPr>
        <w:t xml:space="preserve"> (!!!)</w:t>
      </w:r>
    </w:p>
    <w:p>
      <w:pPr>
        <w:numPr>
          <w:ilvl w:val="1"/>
          <w:numId w:val="35"/>
        </w:numPr>
      </w:pPr>
      <w:r>
        <w:rPr>
          <w:b/>
        </w:rPr>
        <w:t>Post-antibiotique</w:t>
      </w:r>
    </w:p>
    <w:p>
      <w:pPr>
        <w:numPr>
          <w:ilvl w:val="1"/>
          <w:numId w:val="35"/>
        </w:numPr>
      </w:pPr>
      <w:r>
        <w:rPr>
          <w:b/>
          <w:i/>
        </w:rPr>
        <w:t>MICI</w:t>
      </w:r>
    </w:p>
    <w:p>
      <w:pPr/>
    </w:p>
    <w:p>
      <w:pPr>
        <w:pStyle w:val="Heading2"/>
        <w:numPr>
          <w:ilvl w:val="0"/>
          <w:numId w:val="79"/>
        </w:numPr>
      </w:pPr>
      <w:r>
        <w:rPr/>
        <w:t>ORIGINE BACTERIENNE</w:t>
      </w:r>
    </w:p>
    <w:p>
      <w:pPr>
        <w:pStyle w:val="Heading3"/>
        <w:numPr>
          <w:ilvl w:val="0"/>
          <w:numId w:val="80"/>
        </w:numPr>
      </w:pPr>
      <w:r>
        <w:rPr/>
        <w:t>Shigellose</w:t>
      </w:r>
      <w:r>
        <w:rPr/>
      </w:r>
    </w:p>
    <w:p>
      <w:pPr>
        <w:pStyle w:val="Heading4"/>
        <w:numPr>
          <w:ilvl w:val="0"/>
          <w:numId w:val="81"/>
        </w:numPr>
      </w:pPr>
      <w:r>
        <w:rPr/>
        <w:t>CLINIQUE</w:t>
      </w:r>
    </w:p>
    <w:p>
      <w:pPr>
        <w:numPr>
          <w:ilvl w:val="3"/>
          <w:numId w:val="36"/>
        </w:numPr>
      </w:pPr>
      <w:r>
        <w:rPr/>
        <w:t>Incubation : quelques heures à quelques jours</w:t>
      </w:r>
    </w:p>
    <w:p>
      <w:pPr>
        <w:numPr>
          <w:ilvl w:val="3"/>
          <w:numId w:val="36"/>
        </w:numPr>
      </w:pPr>
      <w:r>
        <w:rPr/>
        <w:t>Début brusque</w:t>
      </w:r>
    </w:p>
    <w:p>
      <w:pPr>
        <w:numPr>
          <w:ilvl w:val="3"/>
          <w:numId w:val="36"/>
        </w:numPr>
      </w:pPr>
      <w:r>
        <w:rPr>
          <w:b/>
          <w:u w:val="single"/>
        </w:rPr>
        <w:t xml:space="preserve">Syndrome dysentérique </w:t>
      </w:r>
      <w:r>
        <w:rPr>
          <w:b/>
          <w:u w:val="single"/>
        </w:rPr>
        <w:t xml:space="preserve">fébrile </w:t>
      </w:r>
      <w:r>
        <w:rPr>
          <w:b/>
          <w:u w:val="single"/>
        </w:rPr>
        <w:t>: diarrhées mucosanglantes</w:t>
      </w:r>
    </w:p>
    <w:p>
      <w:pPr>
        <w:numPr>
          <w:ilvl w:val="3"/>
          <w:numId w:val="36"/>
        </w:numPr>
      </w:pPr>
      <w:r>
        <w:rPr/>
        <w:t>Parfois : manifestations extra-digestives : manifestations rhumatologiques</w:t>
      </w:r>
      <w:r>
        <w:rPr/>
        <w:br/>
      </w:r>
    </w:p>
    <w:p>
      <w:pPr>
        <w:pStyle w:val="Heading4"/>
        <w:numPr>
          <w:ilvl w:val="0"/>
          <w:numId w:val="81"/>
        </w:numPr>
      </w:pPr>
      <w:r>
        <w:rPr/>
        <w:t>EXAMEN</w:t>
      </w:r>
      <w:r>
        <w:rPr/>
        <w:t xml:space="preserve"> COMPLEMENTAIRE :</w:t>
      </w:r>
    </w:p>
    <w:p>
      <w:pPr>
        <w:numPr>
          <w:ilvl w:val="3"/>
          <w:numId w:val="36"/>
        </w:numPr>
      </w:pPr>
      <w:r>
        <w:rPr/>
        <w:t>Coproculture</w:t>
      </w:r>
    </w:p>
    <w:p>
      <w:pPr>
        <w:numPr>
          <w:ilvl w:val="3"/>
          <w:numId w:val="36"/>
        </w:numPr>
      </w:pPr>
      <w:r>
        <w:rPr/>
        <w:t xml:space="preserve">Sérologie </w:t>
      </w:r>
      <w:r>
        <w:rPr/>
        <w:br/>
      </w:r>
    </w:p>
    <w:p>
      <w:pPr>
        <w:pStyle w:val="Heading3"/>
        <w:numPr>
          <w:ilvl w:val="0"/>
          <w:numId w:val="80"/>
        </w:numPr>
      </w:pPr>
      <w:r>
        <w:rPr/>
        <w:t>Salmonelloses</w:t>
      </w:r>
      <w:r>
        <w:rPr/>
        <w:t xml:space="preserve"> : </w:t>
      </w:r>
      <w:r>
        <w:rPr/>
        <w:br/>
      </w:r>
      <w:r>
        <w:rPr>
          <w:b w:val="0"/>
          <w:color w:val="000000"/>
          <w:u w:val="none"/>
        </w:rPr>
        <w:t>Salmonelloses mineures : S. Enteritidis ou S typhi murium</w:t>
      </w:r>
    </w:p>
    <w:p>
      <w:pPr>
        <w:numPr>
          <w:ilvl w:val="2"/>
          <w:numId w:val="36"/>
        </w:numPr>
      </w:pPr>
      <w:r>
        <w:rPr/>
        <w:t>Clinique : syndrome dysentérique fébrile</w:t>
      </w:r>
    </w:p>
    <w:p>
      <w:pPr>
        <w:numPr>
          <w:ilvl w:val="2"/>
          <w:numId w:val="36"/>
        </w:numPr>
      </w:pPr>
      <w:r>
        <w:rPr/>
        <w:t>Diagnostic</w:t>
      </w:r>
    </w:p>
    <w:p>
      <w:pPr>
        <w:numPr>
          <w:ilvl w:val="3"/>
          <w:numId w:val="36"/>
        </w:numPr>
      </w:pPr>
      <w:r>
        <w:rPr/>
        <w:t>Isolement du germe</w:t>
      </w:r>
    </w:p>
    <w:p>
      <w:pPr>
        <w:numPr>
          <w:ilvl w:val="4"/>
          <w:numId w:val="36"/>
        </w:numPr>
      </w:pPr>
      <w:r>
        <w:rPr/>
        <w:t>Hémoculture - coproculture (à la 1ère semaine)</w:t>
      </w:r>
    </w:p>
    <w:p>
      <w:pPr>
        <w:numPr>
          <w:ilvl w:val="3"/>
          <w:numId w:val="36"/>
        </w:numPr>
      </w:pPr>
      <w:r>
        <w:rPr/>
        <w:t>Sérodiagnostic (à la 2ème semaine)</w:t>
      </w:r>
      <w:r>
        <w:rPr/>
        <w:br/>
      </w:r>
    </w:p>
    <w:p>
      <w:pPr>
        <w:pStyle w:val="Heading3"/>
        <w:numPr>
          <w:ilvl w:val="0"/>
          <w:numId w:val="80"/>
        </w:numPr>
      </w:pPr>
      <w:r>
        <w:rPr/>
        <w:t>Yersinioses</w:t>
      </w:r>
      <w:r>
        <w:rPr/>
        <w:t xml:space="preserve"> : Y. enterolytica</w:t>
      </w:r>
    </w:p>
    <w:p>
      <w:pPr>
        <w:numPr>
          <w:ilvl w:val="3"/>
          <w:numId w:val="36"/>
        </w:numPr>
      </w:pPr>
      <w:r>
        <w:rPr>
          <w:b/>
        </w:rPr>
        <w:t>Dans les produits laitiers ou viandes +/- cuites</w:t>
      </w:r>
    </w:p>
    <w:p>
      <w:pPr>
        <w:numPr>
          <w:ilvl w:val="3"/>
          <w:numId w:val="36"/>
        </w:numPr>
      </w:pPr>
      <w:r>
        <w:rPr>
          <w:b/>
        </w:rPr>
        <w:t>Clinique :</w:t>
      </w:r>
    </w:p>
    <w:p>
      <w:pPr>
        <w:numPr>
          <w:ilvl w:val="4"/>
          <w:numId w:val="36"/>
        </w:numPr>
      </w:pPr>
      <w:r>
        <w:rPr/>
        <w:t>Syndrome dysentérique</w:t>
      </w:r>
    </w:p>
    <w:p>
      <w:pPr>
        <w:numPr>
          <w:ilvl w:val="4"/>
          <w:numId w:val="36"/>
        </w:numPr>
      </w:pPr>
      <w:r>
        <w:rPr/>
        <w:t>Arthralgie</w:t>
      </w:r>
    </w:p>
    <w:p>
      <w:pPr>
        <w:numPr>
          <w:ilvl w:val="4"/>
          <w:numId w:val="36"/>
        </w:numPr>
      </w:pPr>
      <w:r>
        <w:rPr/>
        <w:t xml:space="preserve">Érythème </w:t>
      </w:r>
      <w:r>
        <w:rPr/>
        <w:t>noueux</w:t>
      </w:r>
      <w:r>
        <w:rPr/>
      </w:r>
    </w:p>
    <w:p>
      <w:pPr>
        <w:numPr>
          <w:ilvl w:val="3"/>
          <w:numId w:val="36"/>
        </w:numPr>
      </w:pPr>
      <w:r>
        <w:rPr/>
        <w:t>Diagnostic : coproculture, sérologie</w:t>
      </w:r>
    </w:p>
    <w:p>
      <w:pPr>
        <w:pStyle w:val="Heading3"/>
        <w:numPr>
          <w:ilvl w:val="0"/>
          <w:numId w:val="80"/>
        </w:numPr>
      </w:pPr>
      <w:r>
        <w:rPr/>
        <w:t>Autres</w:t>
      </w:r>
      <w:r>
        <w:rPr/>
        <w:t xml:space="preserve"> :</w:t>
      </w:r>
    </w:p>
    <w:p>
      <w:pPr>
        <w:numPr>
          <w:ilvl w:val="3"/>
          <w:numId w:val="36"/>
        </w:numPr>
      </w:pPr>
      <w:r>
        <w:rPr/>
        <w:t xml:space="preserve">Campylobacter </w:t>
      </w:r>
      <w:r>
        <w:rPr/>
        <w:t>jejuni (</w:t>
      </w:r>
      <w:r>
        <w:rPr>
          <w:i/>
        </w:rPr>
        <w:t>le plus souvent dans le contexte de TIAC)</w:t>
      </w:r>
    </w:p>
    <w:p>
      <w:pPr>
        <w:numPr>
          <w:ilvl w:val="3"/>
          <w:numId w:val="36"/>
        </w:numPr>
      </w:pPr>
      <w:r>
        <w:rPr/>
        <w:t>Escherichia coli entéropathogènes</w:t>
      </w:r>
      <w:r>
        <w:rPr/>
        <w:br/>
      </w:r>
    </w:p>
    <w:p>
      <w:pPr>
        <w:pStyle w:val="Heading2"/>
        <w:numPr>
          <w:ilvl w:val="0"/>
          <w:numId w:val="79"/>
        </w:numPr>
      </w:pPr>
      <w:r>
        <w:rPr/>
        <w:t>ORIGINE PARASITAIRE :</w:t>
      </w:r>
    </w:p>
    <w:p>
      <w:pPr>
        <w:pStyle w:val="Heading3"/>
        <w:numPr>
          <w:ilvl w:val="0"/>
          <w:numId w:val="82"/>
        </w:numPr>
      </w:pPr>
      <w:r>
        <w:rPr/>
        <w:t>Dysenterie</w:t>
      </w:r>
      <w:r>
        <w:rPr/>
        <w:t xml:space="preserve"> amibienne</w:t>
      </w:r>
    </w:p>
    <w:p>
      <w:pPr>
        <w:numPr>
          <w:ilvl w:val="3"/>
          <w:numId w:val="36"/>
        </w:numPr>
      </w:pPr>
      <w:r>
        <w:rPr/>
        <w:t>Fréquente (Madagascar)</w:t>
      </w:r>
    </w:p>
    <w:p>
      <w:pPr>
        <w:numPr>
          <w:ilvl w:val="3"/>
          <w:numId w:val="36"/>
        </w:numPr>
      </w:pPr>
      <w:r>
        <w:rPr/>
        <w:t>Clinique :</w:t>
      </w:r>
    </w:p>
    <w:p>
      <w:pPr>
        <w:numPr>
          <w:ilvl w:val="4"/>
          <w:numId w:val="36"/>
        </w:numPr>
      </w:pPr>
      <w:r>
        <w:rPr/>
        <w:t>Début progressif</w:t>
      </w:r>
    </w:p>
    <w:p>
      <w:pPr>
        <w:numPr>
          <w:ilvl w:val="4"/>
          <w:numId w:val="36"/>
        </w:numPr>
      </w:pPr>
      <w:r>
        <w:rPr/>
        <w:t>Incubation : quelques jours à quelques semaines</w:t>
      </w:r>
    </w:p>
    <w:p>
      <w:pPr>
        <w:numPr>
          <w:ilvl w:val="4"/>
          <w:numId w:val="36"/>
        </w:numPr>
      </w:pPr>
      <w:r>
        <w:rPr/>
        <w:t xml:space="preserve">Syndrome dysentérique </w:t>
      </w:r>
      <w:r>
        <w:rPr>
          <w:b/>
        </w:rPr>
        <w:t>apyrétique</w:t>
      </w:r>
    </w:p>
    <w:p>
      <w:pPr>
        <w:numPr>
          <w:ilvl w:val="4"/>
          <w:numId w:val="36"/>
        </w:numPr>
      </w:pPr>
      <w:r>
        <w:rPr/>
        <w:t>Etat général bien conservé</w:t>
      </w:r>
      <w:r>
        <w:rPr/>
        <w:br/>
      </w:r>
    </w:p>
    <w:p>
      <w:pPr>
        <w:pStyle w:val="Heading4"/>
      </w:pPr>
      <w:r>
        <w:rPr/>
        <w:t>Examens complémentaires :</w:t>
      </w:r>
    </w:p>
    <w:p>
      <w:pPr>
        <w:numPr>
          <w:ilvl w:val="4"/>
          <w:numId w:val="36"/>
        </w:numPr>
      </w:pPr>
      <w:r>
        <w:rPr>
          <w:b/>
        </w:rPr>
        <w:t>Rectoscopie :</w:t>
      </w:r>
    </w:p>
    <w:p>
      <w:pPr>
        <w:numPr>
          <w:ilvl w:val="5"/>
          <w:numId w:val="36"/>
        </w:numPr>
      </w:pPr>
      <w:r>
        <w:rPr/>
        <w:t>Intérêts :</w:t>
      </w:r>
    </w:p>
    <w:p>
      <w:pPr>
        <w:numPr>
          <w:ilvl w:val="6"/>
          <w:numId w:val="36"/>
        </w:numPr>
      </w:pPr>
      <w:r>
        <w:rPr/>
        <w:t>Prélèvement de glaire</w:t>
      </w:r>
    </w:p>
    <w:p>
      <w:pPr>
        <w:numPr>
          <w:ilvl w:val="6"/>
          <w:numId w:val="36"/>
        </w:numPr>
      </w:pPr>
      <w:r>
        <w:rPr/>
        <w:t>Lésions de rectite amibienne :</w:t>
      </w:r>
    </w:p>
    <w:p>
      <w:pPr>
        <w:numPr>
          <w:ilvl w:val="7"/>
          <w:numId w:val="36"/>
        </w:numPr>
      </w:pPr>
      <w:r>
        <w:rPr/>
        <w:t>Tâches purpuriques</w:t>
      </w:r>
    </w:p>
    <w:p>
      <w:pPr>
        <w:numPr>
          <w:ilvl w:val="7"/>
          <w:numId w:val="36"/>
        </w:numPr>
      </w:pPr>
      <w:r>
        <w:rPr/>
        <w:t>Exulcérations en “coup d’ongles” + enduit blanchâtre</w:t>
      </w:r>
    </w:p>
    <w:p>
      <w:pPr>
        <w:numPr>
          <w:ilvl w:val="7"/>
          <w:numId w:val="36"/>
        </w:numPr>
      </w:pPr>
      <w:r>
        <w:rPr/>
        <w:t>Abcès en “bouton de chemise”</w:t>
      </w:r>
    </w:p>
    <w:p>
      <w:pPr>
        <w:numPr>
          <w:ilvl w:val="7"/>
          <w:numId w:val="36"/>
        </w:numPr>
      </w:pPr>
      <w:r>
        <w:rPr/>
        <w:t>Ou simplement un aspect érythémateux</w:t>
      </w:r>
    </w:p>
    <w:p>
      <w:pPr>
        <w:numPr>
          <w:ilvl w:val="4"/>
          <w:numId w:val="36"/>
        </w:numPr>
      </w:pPr>
      <w:r>
        <w:rPr>
          <w:b/>
        </w:rPr>
        <w:t>Recherche d’amibe :</w:t>
      </w:r>
    </w:p>
    <w:p>
      <w:pPr>
        <w:numPr>
          <w:ilvl w:val="5"/>
          <w:numId w:val="36"/>
        </w:numPr>
      </w:pPr>
      <w:r>
        <w:rPr/>
        <w:t>Selles fraîches (émises au laboratoire)</w:t>
      </w:r>
    </w:p>
    <w:p>
      <w:pPr>
        <w:numPr>
          <w:ilvl w:val="5"/>
          <w:numId w:val="36"/>
        </w:numPr>
      </w:pPr>
      <w:r>
        <w:rPr>
          <w:b/>
        </w:rPr>
        <w:t>Amibes hématophages</w:t>
      </w:r>
    </w:p>
    <w:p>
      <w:pPr>
        <w:numPr>
          <w:ilvl w:val="4"/>
          <w:numId w:val="36"/>
        </w:numPr>
      </w:pPr>
      <w:r>
        <w:rPr>
          <w:b/>
        </w:rPr>
        <w:t xml:space="preserve">Sérologie amibienne : </w:t>
      </w:r>
      <w:r>
        <w:rPr/>
        <w:t>positive (</w:t>
      </w:r>
      <w:r>
        <w:rPr>
          <w:i/>
        </w:rPr>
        <w:t>peut rester positive jusqu’à 10 mois voire plusieurs années)</w:t>
      </w:r>
    </w:p>
    <w:p>
      <w:pPr>
        <w:pStyle w:val="Heading4"/>
      </w:pPr>
      <w:r>
        <w:rPr/>
        <w:t>Evolution :</w:t>
      </w:r>
    </w:p>
    <w:p>
      <w:pPr>
        <w:numPr>
          <w:ilvl w:val="4"/>
          <w:numId w:val="36"/>
        </w:numPr>
      </w:pPr>
      <w:r>
        <w:rPr/>
        <w:t>Favorable : traitée tôt et bien</w:t>
      </w:r>
    </w:p>
    <w:p>
      <w:pPr>
        <w:numPr>
          <w:ilvl w:val="4"/>
          <w:numId w:val="36"/>
        </w:numPr>
      </w:pPr>
      <w:r>
        <w:rPr/>
        <w:t>Abcès hépatique : amibiase hépatique</w:t>
      </w:r>
    </w:p>
    <w:p>
      <w:pPr>
        <w:numPr>
          <w:ilvl w:val="4"/>
          <w:numId w:val="36"/>
        </w:numPr>
      </w:pPr>
      <w:r>
        <w:rPr/>
        <w:t>Amoebome colique : “pseudo-tumeur” (</w:t>
      </w:r>
      <w:r>
        <w:rPr>
          <w:i/>
        </w:rPr>
        <w:t>coloscopie + biopsie et anapath : pas de cellules tumorales)</w:t>
      </w:r>
      <w:r>
        <w:rPr>
          <w:i/>
        </w:rPr>
        <w:br/>
      </w:r>
    </w:p>
    <w:p>
      <w:pPr>
        <w:pStyle w:val="Heading3"/>
        <w:numPr>
          <w:ilvl w:val="0"/>
          <w:numId w:val="82"/>
        </w:numPr>
      </w:pPr>
      <w:r>
        <w:rPr/>
        <w:t>Dysenterie</w:t>
      </w:r>
      <w:r>
        <w:rPr/>
        <w:t xml:space="preserve"> bilharzienne</w:t>
      </w:r>
      <w:r>
        <w:rPr/>
        <w:t xml:space="preserve"> : </w:t>
      </w:r>
      <w:r>
        <w:rPr>
          <w:i/>
          <w:color w:val="000000"/>
        </w:rPr>
        <w:t>Schistosoma mansoni - intercalatum - japonicum</w:t>
      </w:r>
    </w:p>
    <w:p>
      <w:pPr>
        <w:pStyle w:val="Heading4"/>
      </w:pPr>
      <w:r>
        <w:rPr/>
        <w:t>Clinique :</w:t>
      </w:r>
    </w:p>
    <w:p>
      <w:pPr>
        <w:numPr>
          <w:ilvl w:val="3"/>
          <w:numId w:val="36"/>
        </w:numPr>
      </w:pPr>
      <w:r>
        <w:rPr/>
        <w:t>Syndrome dysentérique mineur ; inconstant</w:t>
      </w:r>
    </w:p>
    <w:p>
      <w:pPr>
        <w:pStyle w:val="Heading4"/>
      </w:pPr>
      <w:r>
        <w:rPr/>
        <w:t>Diagnostic :</w:t>
      </w:r>
    </w:p>
    <w:p>
      <w:pPr>
        <w:numPr>
          <w:ilvl w:val="3"/>
          <w:numId w:val="36"/>
        </w:numPr>
      </w:pPr>
      <w:r>
        <w:rPr>
          <w:b/>
        </w:rPr>
        <w:t>Séjour en zone d’endémie et bain en eau douce</w:t>
      </w:r>
    </w:p>
    <w:p>
      <w:pPr>
        <w:numPr>
          <w:ilvl w:val="3"/>
          <w:numId w:val="36"/>
        </w:numPr>
      </w:pPr>
      <w:r>
        <w:rPr/>
        <w:t>Eosinophilie sanguine (&gt; 500/ml)</w:t>
      </w:r>
    </w:p>
    <w:p>
      <w:pPr>
        <w:numPr>
          <w:ilvl w:val="3"/>
          <w:numId w:val="36"/>
        </w:numPr>
      </w:pPr>
      <w:r>
        <w:rPr/>
        <w:t xml:space="preserve">Selles : </w:t>
      </w:r>
      <w:r>
        <w:rPr/>
        <w:t>œufs</w:t>
      </w:r>
      <w:r>
        <w:rPr/>
        <w:t xml:space="preserve"> de bilharzies</w:t>
      </w:r>
    </w:p>
    <w:p>
      <w:pPr>
        <w:numPr>
          <w:ilvl w:val="3"/>
          <w:numId w:val="36"/>
        </w:numPr>
      </w:pPr>
      <w:r>
        <w:rPr/>
        <w:t>Sérologie positive (</w:t>
      </w:r>
      <w:r>
        <w:rPr>
          <w:i/>
        </w:rPr>
        <w:t>intéressant pour les passages en ZE mais non les habitants : peut être positif jusqu’à 10 ans</w:t>
      </w:r>
    </w:p>
    <w:p>
      <w:pPr>
        <w:numPr>
          <w:ilvl w:val="3"/>
          <w:numId w:val="36"/>
        </w:numPr>
      </w:pPr>
      <w:r>
        <w:rPr/>
        <w:t>Coloscopie :</w:t>
      </w:r>
    </w:p>
    <w:p>
      <w:pPr>
        <w:numPr>
          <w:ilvl w:val="4"/>
          <w:numId w:val="36"/>
        </w:numPr>
      </w:pPr>
      <w:r>
        <w:rPr/>
        <w:t>Lésions rectales : ulcérations</w:t>
      </w:r>
    </w:p>
    <w:p>
      <w:pPr>
        <w:numPr>
          <w:ilvl w:val="4"/>
          <w:numId w:val="36"/>
        </w:numPr>
      </w:pPr>
      <w:r>
        <w:rPr/>
        <w:t xml:space="preserve">Biopsie de la muqueuse rectale (BMR) : granulome centré par un </w:t>
      </w:r>
      <w:r>
        <w:rPr/>
        <w:t>œuf</w:t>
      </w:r>
      <w:r>
        <w:rPr/>
        <w:t xml:space="preserve"> de </w:t>
      </w:r>
      <w:r>
        <w:rPr/>
        <w:t>Schistosoma</w:t>
      </w:r>
      <w:r>
        <w:rPr/>
      </w:r>
    </w:p>
    <w:p>
      <w:pPr>
        <w:numPr>
          <w:ilvl w:val="2"/>
          <w:numId w:val="36"/>
        </w:numPr>
      </w:pPr>
      <w:r>
        <w:rPr/>
        <w:t xml:space="preserve">Complications : </w:t>
      </w:r>
      <w:r>
        <w:rPr>
          <w:b/>
        </w:rPr>
        <w:t>Bilharziose hépatique avec hypertension portale</w:t>
      </w:r>
      <w:r>
        <w:rPr>
          <w:b/>
        </w:rPr>
        <w:br/>
      </w:r>
    </w:p>
    <w:p>
      <w:pPr>
        <w:pStyle w:val="Heading2"/>
        <w:numPr>
          <w:ilvl w:val="0"/>
          <w:numId w:val="79"/>
        </w:numPr>
      </w:pPr>
      <w:r>
        <w:rPr/>
        <w:t>Post-antibiotique :</w:t>
      </w:r>
    </w:p>
    <w:p>
      <w:pPr>
        <w:pStyle w:val="Heading3"/>
        <w:numPr>
          <w:ilvl w:val="0"/>
          <w:numId w:val="83"/>
        </w:numPr>
      </w:pPr>
      <w:r>
        <w:rPr/>
        <w:t>Colites pseudo-membraneuses</w:t>
      </w:r>
    </w:p>
    <w:p>
      <w:pPr>
        <w:numPr>
          <w:ilvl w:val="3"/>
          <w:numId w:val="36"/>
        </w:numPr>
      </w:pPr>
      <w:r>
        <w:rPr/>
        <w:t>Clostridium difficile</w:t>
      </w:r>
    </w:p>
    <w:p>
      <w:pPr>
        <w:numPr>
          <w:ilvl w:val="3"/>
          <w:numId w:val="36"/>
        </w:numPr>
      </w:pPr>
      <w:r>
        <w:rPr/>
        <w:t>3 jours après ATP large spectre (pénicilline, macrolides, lincomycine, quinolone)</w:t>
      </w:r>
    </w:p>
    <w:p>
      <w:pPr>
        <w:numPr>
          <w:ilvl w:val="3"/>
          <w:numId w:val="36"/>
        </w:numPr>
      </w:pPr>
      <w:r>
        <w:rPr/>
        <w:t>Surtout les personnes âgées</w:t>
      </w:r>
    </w:p>
    <w:p>
      <w:pPr>
        <w:numPr>
          <w:ilvl w:val="3"/>
          <w:numId w:val="36"/>
        </w:numPr>
      </w:pPr>
      <w:r>
        <w:rPr/>
        <w:t>Clinique :</w:t>
      </w:r>
    </w:p>
    <w:p>
      <w:pPr>
        <w:numPr>
          <w:ilvl w:val="4"/>
          <w:numId w:val="36"/>
        </w:numPr>
      </w:pPr>
      <w:r>
        <w:rPr/>
        <w:t>AEG</w:t>
      </w:r>
    </w:p>
    <w:p>
      <w:pPr>
        <w:numPr>
          <w:ilvl w:val="4"/>
          <w:numId w:val="36"/>
        </w:numPr>
      </w:pPr>
      <w:r>
        <w:rPr/>
        <w:t>Diarrhée abondante : sang, fausses membranes</w:t>
      </w:r>
    </w:p>
    <w:p>
      <w:pPr>
        <w:numPr>
          <w:ilvl w:val="4"/>
          <w:numId w:val="36"/>
        </w:numPr>
      </w:pPr>
      <w:r>
        <w:rPr/>
        <w:t>Douleur abdominale</w:t>
      </w:r>
    </w:p>
    <w:p>
      <w:pPr>
        <w:numPr>
          <w:ilvl w:val="3"/>
          <w:numId w:val="36"/>
        </w:numPr>
      </w:pPr>
      <w:r>
        <w:rPr/>
        <w:t>Endoscopie :</w:t>
      </w:r>
    </w:p>
    <w:p>
      <w:pPr>
        <w:numPr>
          <w:ilvl w:val="4"/>
          <w:numId w:val="36"/>
        </w:numPr>
      </w:pPr>
      <w:r>
        <w:rPr/>
        <w:t>Plaques jaunâtres adhérentes</w:t>
      </w:r>
      <w:r>
        <w:rPr/>
      </w:r>
    </w:p>
    <w:p>
      <w:pPr>
        <w:numPr>
          <w:ilvl w:val="4"/>
          <w:numId w:val="36"/>
        </w:numPr>
      </w:pPr>
      <w:r>
        <w:rPr/>
        <w:t xml:space="preserve">Recherche de </w:t>
      </w:r>
      <w:r>
        <w:rPr>
          <w:b/>
        </w:rPr>
        <w:t>toxines</w:t>
      </w:r>
      <w:r>
        <w:rPr/>
        <w:t xml:space="preserve"> de </w:t>
      </w:r>
      <w:r>
        <w:rPr>
          <w:i/>
        </w:rPr>
        <w:t>Clostridium difficile</w:t>
      </w:r>
      <w:r>
        <w:rPr/>
        <w:t xml:space="preserve"> dans les selles</w:t>
      </w:r>
    </w:p>
    <w:p>
      <w:pPr>
        <w:pStyle w:val="Heading3"/>
        <w:numPr>
          <w:ilvl w:val="0"/>
          <w:numId w:val="83"/>
        </w:numPr>
      </w:pPr>
      <w:r>
        <w:rPr/>
        <w:t>Colites hémorragiques dues à l’ampicilline</w:t>
      </w:r>
    </w:p>
    <w:p>
      <w:pPr>
        <w:numPr>
          <w:ilvl w:val="3"/>
          <w:numId w:val="36"/>
        </w:numPr>
      </w:pPr>
      <w:r>
        <w:rPr>
          <w:b/>
        </w:rPr>
        <w:t xml:space="preserve">2-7ème jour </w:t>
      </w:r>
      <w:r>
        <w:rPr/>
        <w:t>après prescription</w:t>
      </w:r>
    </w:p>
    <w:p>
      <w:pPr>
        <w:numPr>
          <w:ilvl w:val="3"/>
          <w:numId w:val="36"/>
        </w:numPr>
      </w:pPr>
      <w:r>
        <w:rPr/>
        <w:t>Diarrhée sanglante</w:t>
      </w:r>
    </w:p>
    <w:p>
      <w:pPr>
        <w:numPr>
          <w:ilvl w:val="3"/>
          <w:numId w:val="36"/>
        </w:numPr>
      </w:pPr>
      <w:r>
        <w:rPr/>
        <w:t>Coloscopie : suffusions hémorragiques (</w:t>
      </w:r>
      <w:r>
        <w:rPr>
          <w:i/>
        </w:rPr>
        <w:t>”la muqueuse pleure le sang : na tsy voadona aza dia mandeha rà be)</w:t>
      </w:r>
      <w:r>
        <w:rPr>
          <w:i/>
        </w:rPr>
        <w:br/>
      </w:r>
    </w:p>
    <w:p>
      <w:pPr>
        <w:pStyle w:val="Heading2"/>
        <w:numPr>
          <w:ilvl w:val="0"/>
          <w:numId w:val="79"/>
        </w:numPr>
      </w:pPr>
      <w:r>
        <w:rPr/>
        <w:t>Autres causes :</w:t>
      </w:r>
    </w:p>
    <w:p>
      <w:pPr>
        <w:numPr>
          <w:ilvl w:val="3"/>
          <w:numId w:val="36"/>
        </w:numPr>
      </w:pPr>
      <w:r>
        <w:rPr/>
        <w:t>Cancer : côlon et rectum (sujet &gt; 40 ans et résistance à un traitement bien mené)</w:t>
      </w:r>
    </w:p>
    <w:p>
      <w:pPr>
        <w:numPr>
          <w:ilvl w:val="3"/>
          <w:numId w:val="36"/>
        </w:numPr>
      </w:pPr>
      <w:r>
        <w:rPr/>
        <w:t>Colites primitives :</w:t>
      </w:r>
    </w:p>
    <w:p>
      <w:pPr>
        <w:numPr>
          <w:ilvl w:val="4"/>
          <w:numId w:val="36"/>
        </w:numPr>
      </w:pPr>
      <w:r>
        <w:rPr/>
        <w:t>Maladie de Crohn</w:t>
      </w:r>
    </w:p>
    <w:p>
      <w:pPr>
        <w:numPr>
          <w:ilvl w:val="4"/>
          <w:numId w:val="36"/>
        </w:numPr>
      </w:pPr>
      <w:r>
        <w:rPr/>
        <w:t>Rectocolite</w:t>
      </w:r>
      <w:r>
        <w:rPr/>
        <w:t xml:space="preserve"> ulcéro-hémorragique (RCH)</w:t>
      </w:r>
    </w:p>
    <w:p>
      <w:pPr>
        <w:numPr>
          <w:ilvl w:val="3"/>
          <w:numId w:val="36"/>
        </w:numPr>
      </w:pPr>
      <w:r>
        <w:rPr/>
        <w:t>Colites ischémiques (sujets âgés)</w:t>
      </w:r>
    </w:p>
    <w:p>
      <w:pPr>
        <w:numPr>
          <w:ilvl w:val="3"/>
          <w:numId w:val="36"/>
        </w:numPr>
      </w:pPr>
      <w:r>
        <w:rPr/>
        <w:t>Poussée de colopathie fonctionnelle (</w:t>
      </w:r>
      <w:r>
        <w:rPr>
          <w:i/>
        </w:rPr>
        <w:t>assez rare, = syndrome de l’intestin irritable)</w:t>
      </w:r>
    </w:p>
    <w:p>
      <w:pPr/>
    </w:p>
    <w:p>
      <w:pPr>
        <w:pStyle w:val="Heading1"/>
      </w:pPr>
      <w:r>
        <w:rPr/>
        <w:t>CONCLUSION</w:t>
      </w:r>
    </w:p>
    <w:p>
      <w:pPr>
        <w:numPr>
          <w:ilvl w:val="0"/>
          <w:numId w:val="37"/>
        </w:numPr>
      </w:pPr>
      <w:r>
        <w:rPr/>
        <w:t>Inflammation du colon et du rectum</w:t>
      </w:r>
    </w:p>
    <w:p>
      <w:pPr>
        <w:numPr>
          <w:ilvl w:val="0"/>
          <w:numId w:val="37"/>
        </w:numPr>
      </w:pPr>
      <w:r>
        <w:rPr/>
        <w:t>Diarrhée invasive</w:t>
      </w:r>
    </w:p>
    <w:p>
      <w:pPr>
        <w:numPr>
          <w:ilvl w:val="0"/>
          <w:numId w:val="37"/>
        </w:numPr>
      </w:pPr>
      <w:r>
        <w:rPr/>
        <w:t xml:space="preserve">Triade : épreinte, </w:t>
      </w:r>
      <w:r>
        <w:rPr/>
        <w:t>ténesme ;</w:t>
      </w:r>
      <w:r>
        <w:rPr/>
        <w:t xml:space="preserve"> selles glairo-sanguinolentes</w:t>
      </w:r>
    </w:p>
    <w:p>
      <w:pPr>
        <w:numPr>
          <w:ilvl w:val="0"/>
          <w:numId w:val="37"/>
        </w:numPr>
      </w:pPr>
      <w:r>
        <w:rPr/>
        <w:t xml:space="preserve">Approche étiologique : fièvre ou </w:t>
      </w:r>
      <w:r>
        <w:rPr/>
        <w:t>non ?</w:t>
      </w:r>
    </w:p>
    <w:p>
      <w:pPr>
        <w:numPr>
          <w:ilvl w:val="1"/>
          <w:numId w:val="37"/>
        </w:numPr>
      </w:pPr>
      <w:r>
        <w:rPr/>
        <w:t>Fièvre : bactérienne : shigelloses++</w:t>
      </w:r>
    </w:p>
    <w:p>
      <w:pPr>
        <w:numPr>
          <w:ilvl w:val="1"/>
          <w:numId w:val="37"/>
        </w:numPr>
      </w:pPr>
      <w:r>
        <w:rPr/>
        <w:t>Sans fièvre : parasitaire : Amibiase, bilharziose, et les autres causes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