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189B0" w14:textId="69D5648C" w:rsidR="00F8416D" w:rsidRPr="00225F37" w:rsidRDefault="00BF5775" w:rsidP="00BF5775">
      <w:pPr>
        <w:pStyle w:val="Titre1"/>
        <w:rPr>
          <w:lang w:eastAsia="zh-CN"/>
        </w:rPr>
      </w:pPr>
      <w:bookmarkStart w:id="0" w:name="_Hlk205748312"/>
      <w:r w:rsidRPr="00225F37">
        <w:rPr>
          <w:lang w:eastAsia="zh-CN"/>
        </w:rPr>
        <w:t>fracture diaphysaire du femur</w:t>
      </w:r>
    </w:p>
    <w:p w14:paraId="3A7F3955" w14:textId="37810BE6" w:rsidR="00BF5775" w:rsidRDefault="00BF5775" w:rsidP="00BF5775">
      <w:pPr>
        <w:rPr>
          <w:lang w:eastAsia="zh-CN"/>
        </w:rPr>
      </w:pPr>
      <w:r>
        <w:rPr>
          <w:lang w:eastAsia="zh-CN"/>
        </w:rPr>
        <w:t>Pr Duval</w:t>
      </w:r>
    </w:p>
    <w:p w14:paraId="6CB2362B" w14:textId="73E64E90" w:rsidR="00BF5775" w:rsidRDefault="008A62CA" w:rsidP="00574326">
      <w:pPr>
        <w:pStyle w:val="Titre2"/>
        <w:rPr>
          <w:lang w:eastAsia="zh-CN"/>
        </w:rPr>
      </w:pPr>
      <w:r>
        <w:rPr>
          <w:lang w:eastAsia="zh-CN"/>
        </w:rPr>
        <w:t>Introduction</w:t>
      </w:r>
    </w:p>
    <w:p w14:paraId="5B5E8E0B" w14:textId="538AD7D9" w:rsidR="008A62CA" w:rsidRDefault="008A62CA" w:rsidP="008A62CA">
      <w:pPr>
        <w:rPr>
          <w:lang w:eastAsia="zh-CN"/>
        </w:rPr>
      </w:pPr>
      <w:r>
        <w:rPr>
          <w:lang w:eastAsia="zh-CN"/>
        </w:rPr>
        <w:t>Fracture fréquentes</w:t>
      </w:r>
    </w:p>
    <w:p w14:paraId="1087739B" w14:textId="7899D90A" w:rsidR="008A62CA" w:rsidRDefault="008A62CA" w:rsidP="008A62CA">
      <w:pPr>
        <w:rPr>
          <w:lang w:eastAsia="zh-CN"/>
        </w:rPr>
      </w:pPr>
      <w:r>
        <w:rPr>
          <w:lang w:eastAsia="zh-CN"/>
        </w:rPr>
        <w:t>Choc direct sur la cuisse, AVP++</w:t>
      </w:r>
      <w:r>
        <w:rPr>
          <w:vertAlign w:val="subscript"/>
          <w:lang w:eastAsia="zh-CN"/>
        </w:rPr>
        <w:t>+</w:t>
      </w:r>
    </w:p>
    <w:p w14:paraId="6DFE75CB" w14:textId="230B77F6" w:rsidR="008A62CA" w:rsidRDefault="008A62CA" w:rsidP="008A62CA">
      <w:pPr>
        <w:rPr>
          <w:lang w:eastAsia="zh-CN"/>
        </w:rPr>
      </w:pPr>
      <w:r>
        <w:rPr>
          <w:lang w:eastAsia="zh-CN"/>
        </w:rPr>
        <w:t xml:space="preserve">Fracture intéressant toute la diaphyse </w:t>
      </w:r>
    </w:p>
    <w:p w14:paraId="6D42D3B8" w14:textId="2C839592" w:rsidR="008A62CA" w:rsidRDefault="008A62CA" w:rsidP="008A62CA">
      <w:pPr>
        <w:rPr>
          <w:lang w:eastAsia="zh-CN"/>
        </w:rPr>
      </w:pPr>
      <w:r>
        <w:rPr>
          <w:lang w:eastAsia="zh-CN"/>
        </w:rPr>
        <w:t>Pouvant entrainer un choc hémodynamique (saignement de 800 - 1500 ml ou plus</w:t>
      </w:r>
      <w:r w:rsidR="008C79D9">
        <w:rPr>
          <w:lang w:eastAsia="zh-CN"/>
        </w:rPr>
        <w:t xml:space="preserve">) </w:t>
      </w:r>
      <w:r w:rsidR="008C79D9">
        <w:rPr>
          <w:lang w:eastAsia="zh-CN"/>
        </w:rPr>
        <w:sym w:font="Wingdings" w:char="F0E8"/>
      </w:r>
      <w:r w:rsidR="008C79D9">
        <w:rPr>
          <w:lang w:eastAsia="zh-CN"/>
        </w:rPr>
        <w:t xml:space="preserve"> hémorragie interne</w:t>
      </w:r>
    </w:p>
    <w:p w14:paraId="684EBCF6" w14:textId="301827D2" w:rsidR="008A62CA" w:rsidRDefault="008A62CA" w:rsidP="008A62CA">
      <w:pPr>
        <w:rPr>
          <w:lang w:eastAsia="zh-CN"/>
        </w:rPr>
      </w:pPr>
      <w:r>
        <w:rPr>
          <w:lang w:eastAsia="zh-CN"/>
        </w:rPr>
        <w:t>Traitement essentiellement chirurgical</w:t>
      </w:r>
    </w:p>
    <w:p w14:paraId="29BC77A9" w14:textId="1B3DC959" w:rsidR="008C79D9" w:rsidRDefault="008C79D9" w:rsidP="008C79D9">
      <w:pPr>
        <w:pStyle w:val="Titre2"/>
        <w:rPr>
          <w:lang w:eastAsia="zh-CN"/>
        </w:rPr>
      </w:pPr>
      <w:r>
        <w:rPr>
          <w:lang w:eastAsia="zh-CN"/>
        </w:rPr>
        <w:t>Diagnostics</w:t>
      </w:r>
    </w:p>
    <w:p w14:paraId="2C622C8E" w14:textId="05FE92B3" w:rsidR="008C79D9" w:rsidRDefault="008C79D9" w:rsidP="008C79D9">
      <w:pPr>
        <w:pStyle w:val="Titre3"/>
        <w:rPr>
          <w:lang w:eastAsia="zh-CN"/>
        </w:rPr>
      </w:pPr>
      <w:r>
        <w:rPr>
          <w:lang w:eastAsia="zh-CN"/>
        </w:rPr>
        <w:t>Interrogatoire</w:t>
      </w:r>
    </w:p>
    <w:p w14:paraId="70CAFF9D" w14:textId="42EC9721" w:rsidR="008C79D9" w:rsidRDefault="008C79D9" w:rsidP="008C79D9">
      <w:pPr>
        <w:rPr>
          <w:lang w:eastAsia="zh-CN"/>
        </w:rPr>
      </w:pPr>
      <w:r>
        <w:rPr>
          <w:lang w:eastAsia="zh-CN"/>
        </w:rPr>
        <w:t>Mécanisme (traumatisme direct +++) et circonstance de l’accident (AVP+++)</w:t>
      </w:r>
    </w:p>
    <w:p w14:paraId="596D8B65" w14:textId="32FD9B75" w:rsidR="008C79D9" w:rsidRDefault="008C79D9" w:rsidP="008C79D9">
      <w:pPr>
        <w:rPr>
          <w:lang w:eastAsia="zh-CN"/>
        </w:rPr>
      </w:pPr>
      <w:r>
        <w:rPr>
          <w:lang w:eastAsia="zh-CN"/>
        </w:rPr>
        <w:t>Heure du dernier repas</w:t>
      </w:r>
      <w:r w:rsidR="003024A9">
        <w:rPr>
          <w:lang w:eastAsia="zh-CN"/>
        </w:rPr>
        <w:t xml:space="preserve"> (pour l’opération, le patient doit être à jeun)</w:t>
      </w:r>
    </w:p>
    <w:p w14:paraId="7E0A9E1E" w14:textId="0A85ACB6" w:rsidR="008C79D9" w:rsidRDefault="008C79D9" w:rsidP="008C79D9">
      <w:pPr>
        <w:rPr>
          <w:lang w:eastAsia="zh-CN"/>
        </w:rPr>
      </w:pPr>
      <w:r>
        <w:rPr>
          <w:lang w:eastAsia="zh-CN"/>
        </w:rPr>
        <w:t>ATCD</w:t>
      </w:r>
      <w:r w:rsidR="00BA576A">
        <w:rPr>
          <w:lang w:eastAsia="zh-CN"/>
        </w:rPr>
        <w:t xml:space="preserve"> (anticoagulant, contraceptifs oraux)</w:t>
      </w:r>
    </w:p>
    <w:p w14:paraId="39B04DC9" w14:textId="54767184" w:rsidR="00BA576A" w:rsidRDefault="00BA576A" w:rsidP="00BA576A">
      <w:pPr>
        <w:pStyle w:val="Titre3"/>
        <w:rPr>
          <w:lang w:eastAsia="zh-CN"/>
        </w:rPr>
      </w:pPr>
      <w:r>
        <w:rPr>
          <w:lang w:eastAsia="zh-CN"/>
        </w:rPr>
        <w:t>Symptomatologie clinique</w:t>
      </w:r>
    </w:p>
    <w:p w14:paraId="5EEDA786" w14:textId="12959A0B" w:rsidR="00BA576A" w:rsidRDefault="00BA576A" w:rsidP="00BA576A">
      <w:pPr>
        <w:rPr>
          <w:lang w:eastAsia="zh-CN"/>
        </w:rPr>
      </w:pPr>
      <w:r>
        <w:rPr>
          <w:lang w:eastAsia="zh-CN"/>
        </w:rPr>
        <w:t xml:space="preserve">Douleur vive voir syncopal post traumatique </w:t>
      </w:r>
    </w:p>
    <w:p w14:paraId="4A35B0FD" w14:textId="092A1B4E" w:rsidR="00BA576A" w:rsidRDefault="00BA576A" w:rsidP="00BA576A">
      <w:pPr>
        <w:rPr>
          <w:lang w:eastAsia="zh-CN"/>
        </w:rPr>
      </w:pPr>
      <w:r>
        <w:rPr>
          <w:lang w:eastAsia="zh-CN"/>
        </w:rPr>
        <w:t>IF absolue</w:t>
      </w:r>
    </w:p>
    <w:p w14:paraId="2F663A3B" w14:textId="49BEA436" w:rsidR="00BA576A" w:rsidRDefault="00BA576A" w:rsidP="00BA576A">
      <w:pPr>
        <w:rPr>
          <w:lang w:eastAsia="zh-CN"/>
        </w:rPr>
      </w:pPr>
      <w:r>
        <w:rPr>
          <w:lang w:eastAsia="zh-CN"/>
        </w:rPr>
        <w:t>Œdème cuisse</w:t>
      </w:r>
    </w:p>
    <w:p w14:paraId="70A8D2C0" w14:textId="3C68F077" w:rsidR="00BA576A" w:rsidRDefault="00BA576A" w:rsidP="00AB0760">
      <w:pPr>
        <w:pStyle w:val="Titre4"/>
        <w:rPr>
          <w:lang w:eastAsia="zh-CN"/>
        </w:rPr>
      </w:pPr>
      <w:r>
        <w:rPr>
          <w:lang w:eastAsia="zh-CN"/>
        </w:rPr>
        <w:t>Déformation</w:t>
      </w:r>
    </w:p>
    <w:p w14:paraId="0776B95B" w14:textId="1ADC6AE7" w:rsidR="00BA576A" w:rsidRDefault="00BA576A" w:rsidP="00BA576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Raccourcissement </w:t>
      </w:r>
    </w:p>
    <w:p w14:paraId="7DC7AE24" w14:textId="73CA56D4" w:rsidR="00BA576A" w:rsidRDefault="00BA576A" w:rsidP="00BA576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Chevauchement : déformation</w:t>
      </w:r>
      <w:r w:rsidR="004D550E">
        <w:rPr>
          <w:lang w:eastAsia="zh-CN"/>
        </w:rPr>
        <w:t xml:space="preserve"> (angulation)</w:t>
      </w:r>
      <w:r>
        <w:rPr>
          <w:lang w:eastAsia="zh-CN"/>
        </w:rPr>
        <w:t xml:space="preserve"> en crosse à convexité antéro-latérale dans les fracture haute/ inflexion à convexité post dans les fracture</w:t>
      </w:r>
      <w:r w:rsidR="00FB12B6">
        <w:rPr>
          <w:lang w:eastAsia="zh-CN"/>
        </w:rPr>
        <w:t>s</w:t>
      </w:r>
      <w:r>
        <w:rPr>
          <w:lang w:eastAsia="zh-CN"/>
        </w:rPr>
        <w:t xml:space="preserve"> basses</w:t>
      </w:r>
    </w:p>
    <w:p w14:paraId="7D56B930" w14:textId="463B14D7" w:rsidR="00BA576A" w:rsidRDefault="00BA576A" w:rsidP="00BA576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Rotation externe MI</w:t>
      </w:r>
    </w:p>
    <w:p w14:paraId="428C2252" w14:textId="77777777" w:rsidR="00AB0760" w:rsidRDefault="004D550E" w:rsidP="00AB0760">
      <w:pPr>
        <w:pStyle w:val="Titre4"/>
        <w:rPr>
          <w:lang w:eastAsia="zh-CN"/>
        </w:rPr>
      </w:pPr>
      <w:r>
        <w:rPr>
          <w:lang w:eastAsia="zh-CN"/>
        </w:rPr>
        <w:t xml:space="preserve">Lésions cutanées : </w:t>
      </w:r>
    </w:p>
    <w:p w14:paraId="639B4682" w14:textId="186CA86C" w:rsidR="00FB12B6" w:rsidRDefault="00AB0760" w:rsidP="004D550E">
      <w:pPr>
        <w:rPr>
          <w:lang w:eastAsia="zh-CN"/>
        </w:rPr>
      </w:pPr>
      <w:r>
        <w:rPr>
          <w:lang w:eastAsia="zh-CN"/>
        </w:rPr>
        <w:t>Fracture</w:t>
      </w:r>
      <w:r w:rsidR="004D550E">
        <w:rPr>
          <w:lang w:eastAsia="zh-CN"/>
        </w:rPr>
        <w:t xml:space="preserve"> ouverte rare (muscle du fémur)</w:t>
      </w:r>
    </w:p>
    <w:p w14:paraId="666EA9DC" w14:textId="77777777" w:rsidR="00AB0760" w:rsidRDefault="004D550E" w:rsidP="00AB0760">
      <w:pPr>
        <w:pStyle w:val="Titre4"/>
        <w:rPr>
          <w:lang w:eastAsia="zh-CN"/>
        </w:rPr>
      </w:pPr>
      <w:r>
        <w:rPr>
          <w:lang w:eastAsia="zh-CN"/>
        </w:rPr>
        <w:t xml:space="preserve">Examen général : </w:t>
      </w:r>
    </w:p>
    <w:p w14:paraId="188B0963" w14:textId="19D4C3DA" w:rsidR="004D550E" w:rsidRDefault="00AB0760" w:rsidP="004D550E">
      <w:pPr>
        <w:rPr>
          <w:lang w:eastAsia="zh-CN"/>
        </w:rPr>
      </w:pPr>
      <w:r>
        <w:rPr>
          <w:lang w:eastAsia="zh-CN"/>
        </w:rPr>
        <w:t>Recherche</w:t>
      </w:r>
      <w:r w:rsidR="004D550E">
        <w:rPr>
          <w:lang w:eastAsia="zh-CN"/>
        </w:rPr>
        <w:t xml:space="preserve"> choc hypovolémique, autres lésions traumatiques de l’appareil locomoteur, bassin, tronc</w:t>
      </w:r>
    </w:p>
    <w:p w14:paraId="708025C8" w14:textId="480BE4FB" w:rsidR="004D550E" w:rsidRDefault="004D550E" w:rsidP="004D550E">
      <w:pPr>
        <w:pStyle w:val="Titre3"/>
        <w:rPr>
          <w:lang w:eastAsia="zh-CN"/>
        </w:rPr>
      </w:pPr>
      <w:r>
        <w:rPr>
          <w:lang w:eastAsia="zh-CN"/>
        </w:rPr>
        <w:t>Examen paraclinique</w:t>
      </w:r>
    </w:p>
    <w:p w14:paraId="03B01898" w14:textId="0425DD59" w:rsidR="004D550E" w:rsidRDefault="004D550E" w:rsidP="004D550E">
      <w:pPr>
        <w:rPr>
          <w:lang w:eastAsia="zh-CN"/>
        </w:rPr>
      </w:pPr>
      <w:r>
        <w:rPr>
          <w:lang w:eastAsia="zh-CN"/>
        </w:rPr>
        <w:t>Radiographie standard face et profil perme</w:t>
      </w:r>
      <w:r w:rsidR="004C70E6">
        <w:rPr>
          <w:lang w:eastAsia="zh-CN"/>
        </w:rPr>
        <w:t>t</w:t>
      </w:r>
      <w:r>
        <w:rPr>
          <w:lang w:eastAsia="zh-CN"/>
        </w:rPr>
        <w:t xml:space="preserve"> de confirmer le diagnostic (siège, trait, déplacement)</w:t>
      </w:r>
    </w:p>
    <w:p w14:paraId="6B671321" w14:textId="6DD66BA0" w:rsidR="004D550E" w:rsidRDefault="004D550E" w:rsidP="004D550E">
      <w:pPr>
        <w:rPr>
          <w:lang w:eastAsia="zh-CN"/>
        </w:rPr>
      </w:pPr>
      <w:r>
        <w:rPr>
          <w:lang w:eastAsia="zh-CN"/>
        </w:rPr>
        <w:t>Bilan préopératoire classique</w:t>
      </w:r>
    </w:p>
    <w:p w14:paraId="55EBC4B9" w14:textId="3DD44CE2" w:rsidR="004C70E6" w:rsidRDefault="004C70E6" w:rsidP="004C70E6">
      <w:pPr>
        <w:pStyle w:val="Titre2"/>
        <w:rPr>
          <w:lang w:eastAsia="zh-CN"/>
        </w:rPr>
      </w:pPr>
      <w:r>
        <w:rPr>
          <w:lang w:eastAsia="zh-CN"/>
        </w:rPr>
        <w:lastRenderedPageBreak/>
        <w:t>Traitement</w:t>
      </w:r>
    </w:p>
    <w:p w14:paraId="0E10B203" w14:textId="5B4EE606" w:rsidR="004C70E6" w:rsidRDefault="004C70E6" w:rsidP="004C70E6">
      <w:pPr>
        <w:pStyle w:val="Titre3"/>
        <w:rPr>
          <w:lang w:eastAsia="zh-CN"/>
        </w:rPr>
      </w:pPr>
      <w:r>
        <w:rPr>
          <w:lang w:eastAsia="zh-CN"/>
        </w:rPr>
        <w:t>But</w:t>
      </w:r>
    </w:p>
    <w:p w14:paraId="75B3D98A" w14:textId="199DF1B0" w:rsidR="004C70E6" w:rsidRDefault="004C70E6" w:rsidP="004C70E6">
      <w:pPr>
        <w:rPr>
          <w:lang w:eastAsia="zh-CN"/>
        </w:rPr>
      </w:pPr>
      <w:r>
        <w:rPr>
          <w:lang w:eastAsia="zh-CN"/>
        </w:rPr>
        <w:t>Obtenir une bonne réduction de la fracture avec conservation de la longueur du fémur</w:t>
      </w:r>
    </w:p>
    <w:p w14:paraId="3D27C4EB" w14:textId="0C1D37A9" w:rsidR="004C70E6" w:rsidRDefault="004C70E6" w:rsidP="004C70E6">
      <w:pPr>
        <w:rPr>
          <w:lang w:eastAsia="zh-CN"/>
        </w:rPr>
      </w:pPr>
      <w:r>
        <w:rPr>
          <w:lang w:eastAsia="zh-CN"/>
        </w:rPr>
        <w:t>Eviter les complications</w:t>
      </w:r>
    </w:p>
    <w:p w14:paraId="57ED1247" w14:textId="4C387F61" w:rsidR="004C70E6" w:rsidRDefault="004C70E6" w:rsidP="004C70E6">
      <w:pPr>
        <w:rPr>
          <w:lang w:eastAsia="zh-CN"/>
        </w:rPr>
      </w:pPr>
      <w:r>
        <w:rPr>
          <w:lang w:eastAsia="zh-CN"/>
        </w:rPr>
        <w:t>Obtenir un bon résultat fonctionnel</w:t>
      </w:r>
    </w:p>
    <w:p w14:paraId="2E7B7A2A" w14:textId="2D71A657" w:rsidR="004C70E6" w:rsidRDefault="004C70E6" w:rsidP="004C70E6">
      <w:pPr>
        <w:pStyle w:val="Titre3"/>
        <w:rPr>
          <w:lang w:eastAsia="zh-CN"/>
        </w:rPr>
      </w:pPr>
      <w:r>
        <w:rPr>
          <w:lang w:eastAsia="zh-CN"/>
        </w:rPr>
        <w:t>Moyens</w:t>
      </w:r>
    </w:p>
    <w:p w14:paraId="6F99BB36" w14:textId="1AD0AD2E" w:rsidR="004C70E6" w:rsidRDefault="004C70E6" w:rsidP="004C70E6">
      <w:pPr>
        <w:pStyle w:val="Titre4"/>
        <w:rPr>
          <w:lang w:eastAsia="zh-CN"/>
        </w:rPr>
      </w:pPr>
      <w:r>
        <w:rPr>
          <w:lang w:eastAsia="zh-CN"/>
        </w:rPr>
        <w:t>Traitement médical</w:t>
      </w:r>
    </w:p>
    <w:p w14:paraId="52908A36" w14:textId="4E38F31A" w:rsidR="004C70E6" w:rsidRDefault="004C70E6" w:rsidP="004C70E6">
      <w:pPr>
        <w:rPr>
          <w:lang w:eastAsia="zh-CN"/>
        </w:rPr>
      </w:pPr>
      <w:r>
        <w:rPr>
          <w:lang w:eastAsia="zh-CN"/>
        </w:rPr>
        <w:t xml:space="preserve">Antalgique </w:t>
      </w:r>
    </w:p>
    <w:p w14:paraId="79D2FEB7" w14:textId="19CF0E71" w:rsidR="004C70E6" w:rsidRDefault="004C70E6" w:rsidP="004C70E6">
      <w:pPr>
        <w:rPr>
          <w:lang w:eastAsia="zh-CN"/>
        </w:rPr>
      </w:pPr>
      <w:r>
        <w:rPr>
          <w:lang w:eastAsia="zh-CN"/>
        </w:rPr>
        <w:t xml:space="preserve">Mesures de réanimation : pose VV et remplissage, antibiotique, SAT/VAT et anticoagulant </w:t>
      </w:r>
    </w:p>
    <w:p w14:paraId="75FEC39B" w14:textId="3A87AA6A" w:rsidR="004C70E6" w:rsidRDefault="004C70E6" w:rsidP="004C70E6">
      <w:pPr>
        <w:pStyle w:val="Titre4"/>
        <w:ind w:left="1416" w:hanging="1416"/>
        <w:rPr>
          <w:lang w:eastAsia="zh-CN"/>
        </w:rPr>
      </w:pPr>
      <w:r>
        <w:rPr>
          <w:lang w:eastAsia="zh-CN"/>
        </w:rPr>
        <w:t>Traitement chirurgicale</w:t>
      </w:r>
    </w:p>
    <w:p w14:paraId="78A11AA6" w14:textId="0CA238E6" w:rsidR="004C70E6" w:rsidRDefault="004C70E6" w:rsidP="004C70E6">
      <w:pPr>
        <w:rPr>
          <w:lang w:eastAsia="zh-CN"/>
        </w:rPr>
      </w:pPr>
      <w:r>
        <w:rPr>
          <w:lang w:eastAsia="zh-CN"/>
        </w:rPr>
        <w:t>Ostéosynthèse par plaque vissées, clou centromédullaire verrouillée ou non, embrochage élastique stable (enfant, fixateur externe)</w:t>
      </w:r>
    </w:p>
    <w:p w14:paraId="55B6A88E" w14:textId="075BB3C5" w:rsidR="004C70E6" w:rsidRDefault="004C70E6" w:rsidP="004C70E6">
      <w:pPr>
        <w:pStyle w:val="Titre4"/>
        <w:rPr>
          <w:lang w:eastAsia="zh-CN"/>
        </w:rPr>
      </w:pPr>
      <w:r>
        <w:rPr>
          <w:lang w:eastAsia="zh-CN"/>
        </w:rPr>
        <w:t>Traitement orthopédique</w:t>
      </w:r>
    </w:p>
    <w:p w14:paraId="7C2E489D" w14:textId="029E08FE" w:rsidR="004C70E6" w:rsidRDefault="004C70E6" w:rsidP="004C70E6">
      <w:pPr>
        <w:rPr>
          <w:lang w:eastAsia="zh-CN"/>
        </w:rPr>
      </w:pPr>
      <w:r>
        <w:rPr>
          <w:lang w:eastAsia="zh-CN"/>
        </w:rPr>
        <w:t>Traction Trans tibiale (traitement d’attente de l’intervention chirurgicale)</w:t>
      </w:r>
    </w:p>
    <w:p w14:paraId="3D6D90F7" w14:textId="490554E9" w:rsidR="004C70E6" w:rsidRDefault="004C70E6" w:rsidP="004C70E6">
      <w:pPr>
        <w:pStyle w:val="Titre4"/>
        <w:rPr>
          <w:lang w:eastAsia="zh-CN"/>
        </w:rPr>
      </w:pPr>
      <w:r>
        <w:rPr>
          <w:lang w:eastAsia="zh-CN"/>
        </w:rPr>
        <w:t>Rééducation fonctionnelle</w:t>
      </w:r>
    </w:p>
    <w:p w14:paraId="6C97579E" w14:textId="50FD519B" w:rsidR="00395D61" w:rsidRDefault="00395D61" w:rsidP="00395D61">
      <w:pPr>
        <w:pStyle w:val="Titre3"/>
        <w:rPr>
          <w:lang w:eastAsia="zh-CN"/>
        </w:rPr>
      </w:pPr>
      <w:r>
        <w:rPr>
          <w:lang w:eastAsia="zh-CN"/>
        </w:rPr>
        <w:t>Indications : chir</w:t>
      </w:r>
      <w:r w:rsidR="00F6191F">
        <w:rPr>
          <w:lang w:eastAsia="zh-CN"/>
        </w:rPr>
        <w:t>urgicale</w:t>
      </w:r>
    </w:p>
    <w:p w14:paraId="4575F24D" w14:textId="4E903858" w:rsidR="00395D61" w:rsidRDefault="00395D61" w:rsidP="00395D61">
      <w:pPr>
        <w:rPr>
          <w:lang w:eastAsia="zh-CN"/>
        </w:rPr>
      </w:pPr>
      <w:r>
        <w:rPr>
          <w:lang w:eastAsia="zh-CN"/>
        </w:rPr>
        <w:t xml:space="preserve">L’enclouage centromédullaire est le TTT de référence chez l’adulte, l’embrochage centromédullaire </w:t>
      </w:r>
      <w:r w:rsidR="00F6191F">
        <w:rPr>
          <w:lang w:eastAsia="zh-CN"/>
        </w:rPr>
        <w:t>é</w:t>
      </w:r>
      <w:r>
        <w:rPr>
          <w:lang w:eastAsia="zh-CN"/>
        </w:rPr>
        <w:t>lastique stable (ECMES) chez le grand enfant et adolescents</w:t>
      </w:r>
    </w:p>
    <w:p w14:paraId="53DE5D97" w14:textId="23117FA4" w:rsidR="00395D61" w:rsidRDefault="00395D61" w:rsidP="00395D61">
      <w:pPr>
        <w:rPr>
          <w:lang w:eastAsia="zh-CN"/>
        </w:rPr>
      </w:pPr>
      <w:r>
        <w:rPr>
          <w:lang w:eastAsia="zh-CN"/>
        </w:rPr>
        <w:t>Enclouage verrou</w:t>
      </w:r>
      <w:r w:rsidR="00F6191F">
        <w:rPr>
          <w:lang w:eastAsia="zh-CN"/>
        </w:rPr>
        <w:t>il</w:t>
      </w:r>
      <w:r>
        <w:rPr>
          <w:lang w:eastAsia="zh-CN"/>
        </w:rPr>
        <w:t>lée, en</w:t>
      </w:r>
      <w:r w:rsidR="00F6191F">
        <w:rPr>
          <w:lang w:eastAsia="zh-CN"/>
        </w:rPr>
        <w:t>cl</w:t>
      </w:r>
      <w:r>
        <w:rPr>
          <w:lang w:eastAsia="zh-CN"/>
        </w:rPr>
        <w:t>ouage ave vissage proximale et distale</w:t>
      </w:r>
    </w:p>
    <w:p w14:paraId="62A9828B" w14:textId="6230EDF3" w:rsidR="00395D61" w:rsidRDefault="00F6191F" w:rsidP="00395D61">
      <w:pPr>
        <w:rPr>
          <w:lang w:eastAsia="zh-CN"/>
        </w:rPr>
      </w:pPr>
      <w:r>
        <w:rPr>
          <w:lang w:eastAsia="zh-CN"/>
        </w:rPr>
        <w:t>P</w:t>
      </w:r>
      <w:r w:rsidR="00395D61">
        <w:rPr>
          <w:lang w:eastAsia="zh-CN"/>
        </w:rPr>
        <w:t>laque vissée : 2</w:t>
      </w:r>
      <w:r w:rsidR="00395D61" w:rsidRPr="00395D61">
        <w:rPr>
          <w:vertAlign w:val="superscript"/>
          <w:lang w:eastAsia="zh-CN"/>
        </w:rPr>
        <w:t>ème</w:t>
      </w:r>
      <w:r w:rsidR="00395D61">
        <w:rPr>
          <w:lang w:eastAsia="zh-CN"/>
        </w:rPr>
        <w:t xml:space="preserve"> choix</w:t>
      </w:r>
    </w:p>
    <w:p w14:paraId="63454AAC" w14:textId="47667ACE" w:rsidR="00395D61" w:rsidRDefault="00395D61" w:rsidP="00395D61">
      <w:pPr>
        <w:rPr>
          <w:lang w:eastAsia="zh-CN"/>
        </w:rPr>
      </w:pPr>
      <w:r>
        <w:rPr>
          <w:lang w:eastAsia="zh-CN"/>
        </w:rPr>
        <w:t>FE</w:t>
      </w:r>
      <w:r w:rsidR="00F6191F">
        <w:rPr>
          <w:lang w:eastAsia="zh-CN"/>
        </w:rPr>
        <w:t xml:space="preserve"> (fixation externe)</w:t>
      </w:r>
      <w:r>
        <w:rPr>
          <w:lang w:eastAsia="zh-CN"/>
        </w:rPr>
        <w:t xml:space="preserve"> pour les frac</w:t>
      </w:r>
      <w:r w:rsidR="00F6191F">
        <w:rPr>
          <w:lang w:eastAsia="zh-CN"/>
        </w:rPr>
        <w:t>t</w:t>
      </w:r>
      <w:r>
        <w:rPr>
          <w:lang w:eastAsia="zh-CN"/>
        </w:rPr>
        <w:t xml:space="preserve">ure ouverte type IIII de </w:t>
      </w:r>
      <w:proofErr w:type="spellStart"/>
      <w:r>
        <w:rPr>
          <w:lang w:eastAsia="zh-CN"/>
        </w:rPr>
        <w:t>Gustillo</w:t>
      </w:r>
      <w:proofErr w:type="spellEnd"/>
      <w:r>
        <w:rPr>
          <w:lang w:eastAsia="zh-CN"/>
        </w:rPr>
        <w:t xml:space="preserve"> </w:t>
      </w:r>
    </w:p>
    <w:p w14:paraId="0059E5D7" w14:textId="77468430" w:rsidR="00395D61" w:rsidRDefault="00395D61" w:rsidP="00395D61">
      <w:pPr>
        <w:rPr>
          <w:lang w:eastAsia="zh-CN"/>
        </w:rPr>
      </w:pPr>
      <w:r>
        <w:rPr>
          <w:lang w:eastAsia="zh-CN"/>
        </w:rPr>
        <w:t>AB</w:t>
      </w:r>
      <w:r w:rsidR="00F6191F">
        <w:rPr>
          <w:lang w:eastAsia="zh-CN"/>
        </w:rPr>
        <w:t xml:space="preserve"> (antibiotique)</w:t>
      </w:r>
      <w:r>
        <w:rPr>
          <w:lang w:eastAsia="zh-CN"/>
        </w:rPr>
        <w:t xml:space="preserve">, SAT </w:t>
      </w:r>
      <w:r w:rsidR="00F6191F">
        <w:rPr>
          <w:lang w:eastAsia="zh-CN"/>
        </w:rPr>
        <w:t xml:space="preserve">(sérum antitétanique) </w:t>
      </w:r>
      <w:r>
        <w:rPr>
          <w:lang w:eastAsia="zh-CN"/>
        </w:rPr>
        <w:t>pour l</w:t>
      </w:r>
      <w:r w:rsidR="00F6191F">
        <w:rPr>
          <w:lang w:eastAsia="zh-CN"/>
        </w:rPr>
        <w:t>a</w:t>
      </w:r>
      <w:r>
        <w:rPr>
          <w:lang w:eastAsia="zh-CN"/>
        </w:rPr>
        <w:t xml:space="preserve"> frac</w:t>
      </w:r>
      <w:r w:rsidR="00F6191F">
        <w:rPr>
          <w:lang w:eastAsia="zh-CN"/>
        </w:rPr>
        <w:t>t</w:t>
      </w:r>
      <w:r>
        <w:rPr>
          <w:lang w:eastAsia="zh-CN"/>
        </w:rPr>
        <w:t>u</w:t>
      </w:r>
      <w:r w:rsidR="00F6191F">
        <w:rPr>
          <w:lang w:eastAsia="zh-CN"/>
        </w:rPr>
        <w:t>r</w:t>
      </w:r>
      <w:r>
        <w:rPr>
          <w:lang w:eastAsia="zh-CN"/>
        </w:rPr>
        <w:t>e ouver</w:t>
      </w:r>
      <w:r w:rsidR="00F6191F">
        <w:rPr>
          <w:lang w:eastAsia="zh-CN"/>
        </w:rPr>
        <w:t>te</w:t>
      </w:r>
    </w:p>
    <w:p w14:paraId="3B005C73" w14:textId="5158F9F0" w:rsidR="00395D61" w:rsidRDefault="00395D61" w:rsidP="00395D61">
      <w:pPr>
        <w:rPr>
          <w:lang w:eastAsia="zh-CN"/>
        </w:rPr>
      </w:pPr>
      <w:r>
        <w:rPr>
          <w:lang w:eastAsia="zh-CN"/>
        </w:rPr>
        <w:t xml:space="preserve">AT </w:t>
      </w:r>
      <w:r w:rsidR="00F6191F">
        <w:rPr>
          <w:lang w:eastAsia="zh-CN"/>
        </w:rPr>
        <w:t>(antithrombotique) systématique</w:t>
      </w:r>
      <w:r>
        <w:rPr>
          <w:lang w:eastAsia="zh-CN"/>
        </w:rPr>
        <w:t>, réanimatio</w:t>
      </w:r>
      <w:r w:rsidR="00F6191F">
        <w:rPr>
          <w:lang w:eastAsia="zh-CN"/>
        </w:rPr>
        <w:t>n</w:t>
      </w:r>
      <w:r>
        <w:rPr>
          <w:lang w:eastAsia="zh-CN"/>
        </w:rPr>
        <w:t xml:space="preserve"> en cas de choc hémorragique </w:t>
      </w:r>
    </w:p>
    <w:p w14:paraId="5D795AB5" w14:textId="2BA23AE4" w:rsidR="005D619B" w:rsidRDefault="005D619B" w:rsidP="00395D61">
      <w:pPr>
        <w:rPr>
          <w:lang w:eastAsia="zh-CN"/>
        </w:rPr>
      </w:pPr>
      <w:r>
        <w:rPr>
          <w:lang w:eastAsia="zh-CN"/>
        </w:rPr>
        <w:t xml:space="preserve">Si les 2 extrémités son verrouillée, le montage est dit </w:t>
      </w:r>
      <w:r w:rsidRPr="005D619B">
        <w:rPr>
          <w:color w:val="ED7D31" w:themeColor="accent2"/>
          <w:lang w:eastAsia="zh-CN"/>
        </w:rPr>
        <w:t>« statique »</w:t>
      </w:r>
    </w:p>
    <w:p w14:paraId="2C80EC7F" w14:textId="0F072B28" w:rsidR="005D619B" w:rsidRDefault="005D619B" w:rsidP="00395D61">
      <w:pPr>
        <w:rPr>
          <w:lang w:eastAsia="zh-CN"/>
        </w:rPr>
      </w:pPr>
      <w:r>
        <w:rPr>
          <w:lang w:eastAsia="zh-CN"/>
        </w:rPr>
        <w:t xml:space="preserve">Le vis ou montage </w:t>
      </w:r>
      <w:r w:rsidRPr="005D619B">
        <w:rPr>
          <w:color w:val="ED7D31" w:themeColor="accent2"/>
          <w:lang w:eastAsia="zh-CN"/>
        </w:rPr>
        <w:t>dynamique</w:t>
      </w:r>
      <w:r>
        <w:rPr>
          <w:lang w:eastAsia="zh-CN"/>
        </w:rPr>
        <w:t> : l’appui favorisé par le contact de des fragment</w:t>
      </w:r>
    </w:p>
    <w:p w14:paraId="210F5F05" w14:textId="2DC3E1CB" w:rsidR="000B2690" w:rsidRDefault="000B2690" w:rsidP="00395D61">
      <w:pPr>
        <w:rPr>
          <w:lang w:eastAsia="zh-CN"/>
        </w:rPr>
      </w:pPr>
      <w:r>
        <w:rPr>
          <w:lang w:eastAsia="zh-CN"/>
        </w:rPr>
        <w:t>Pour enfant</w:t>
      </w:r>
    </w:p>
    <w:p w14:paraId="4EB9F95E" w14:textId="632FB3F4" w:rsidR="000B2690" w:rsidRDefault="000B2690" w:rsidP="000B269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Clous élastiques utilisées chez l’adolescent </w:t>
      </w:r>
    </w:p>
    <w:p w14:paraId="38177B12" w14:textId="6DFB38C3" w:rsidR="000B2690" w:rsidRDefault="000B2690" w:rsidP="000B269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Priorité : préserver les zones fertiles des métaphyse (cartilage de croissance)</w:t>
      </w:r>
    </w:p>
    <w:p w14:paraId="59BD83EE" w14:textId="41044051" w:rsidR="000B2690" w:rsidRDefault="00B635DD" w:rsidP="00B635DD">
      <w:pPr>
        <w:pStyle w:val="Titre2"/>
        <w:rPr>
          <w:lang w:eastAsia="zh-CN"/>
        </w:rPr>
      </w:pPr>
      <w:r>
        <w:rPr>
          <w:lang w:eastAsia="zh-CN"/>
        </w:rPr>
        <w:t>Complication</w:t>
      </w:r>
      <w:r w:rsidR="00CE70DC">
        <w:rPr>
          <w:lang w:eastAsia="zh-CN"/>
        </w:rPr>
        <w:t>s</w:t>
      </w:r>
    </w:p>
    <w:p w14:paraId="5AEBA0CA" w14:textId="1574FCCA" w:rsidR="00B635DD" w:rsidRDefault="00B635DD" w:rsidP="00B635DD">
      <w:pPr>
        <w:rPr>
          <w:lang w:eastAsia="zh-CN"/>
        </w:rPr>
      </w:pPr>
      <w:r>
        <w:rPr>
          <w:lang w:eastAsia="zh-CN"/>
        </w:rPr>
        <w:t>Retard de consolidation</w:t>
      </w:r>
      <w:r w:rsidR="00667904">
        <w:rPr>
          <w:lang w:eastAsia="zh-CN"/>
        </w:rPr>
        <w:t xml:space="preserve"> (plus de 3 – 6 mois)</w:t>
      </w:r>
    </w:p>
    <w:p w14:paraId="4D460169" w14:textId="1D34417B" w:rsidR="00B635DD" w:rsidRDefault="00B635DD" w:rsidP="00B635DD">
      <w:pPr>
        <w:rPr>
          <w:lang w:eastAsia="zh-CN"/>
        </w:rPr>
      </w:pPr>
      <w:r>
        <w:rPr>
          <w:lang w:eastAsia="zh-CN"/>
        </w:rPr>
        <w:t xml:space="preserve">Cals vicieuses </w:t>
      </w:r>
      <w:r w:rsidR="005E5327">
        <w:rPr>
          <w:lang w:eastAsia="zh-CN"/>
        </w:rPr>
        <w:t>(consolidation de mauvaise position)</w:t>
      </w:r>
    </w:p>
    <w:p w14:paraId="60E9A7E0" w14:textId="383EDE39" w:rsidR="00B635DD" w:rsidRDefault="00B635DD" w:rsidP="00B635DD">
      <w:pPr>
        <w:rPr>
          <w:lang w:eastAsia="zh-CN"/>
        </w:rPr>
      </w:pPr>
      <w:r>
        <w:rPr>
          <w:lang w:eastAsia="zh-CN"/>
        </w:rPr>
        <w:t xml:space="preserve">Pseudarthrose </w:t>
      </w:r>
      <w:r w:rsidR="005E5327">
        <w:rPr>
          <w:lang w:eastAsia="zh-CN"/>
        </w:rPr>
        <w:t>(</w:t>
      </w:r>
      <w:r w:rsidR="002A2CBF">
        <w:rPr>
          <w:lang w:eastAsia="zh-CN"/>
        </w:rPr>
        <w:t>absence de consolidation)</w:t>
      </w:r>
    </w:p>
    <w:p w14:paraId="0FBC4C68" w14:textId="3126A40B" w:rsidR="009B2AAE" w:rsidRPr="00AB471D" w:rsidRDefault="00B635DD" w:rsidP="009B2AAE">
      <w:pPr>
        <w:rPr>
          <w:lang w:eastAsia="zh-CN"/>
        </w:rPr>
      </w:pPr>
      <w:r>
        <w:rPr>
          <w:lang w:eastAsia="zh-CN"/>
        </w:rPr>
        <w:t>Infection après fracture ouverte ou opération</w:t>
      </w:r>
      <w:bookmarkStart w:id="1" w:name="_Hlk205751485"/>
      <w:bookmarkEnd w:id="0"/>
      <w:r w:rsidR="00AB471D">
        <w:rPr>
          <w:lang w:eastAsia="zh-CN"/>
        </w:rPr>
        <w:t xml:space="preserve"> </w:t>
      </w:r>
      <w:bookmarkEnd w:id="1"/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19D24" w14:textId="77777777" w:rsidR="00206346" w:rsidRDefault="00206346" w:rsidP="00070F7D">
      <w:r>
        <w:separator/>
      </w:r>
    </w:p>
  </w:endnote>
  <w:endnote w:type="continuationSeparator" w:id="0">
    <w:p w14:paraId="50909F39" w14:textId="77777777" w:rsidR="00206346" w:rsidRDefault="00206346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5DE7A326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A858C8">
              <w:rPr>
                <w:noProof/>
              </w:rPr>
              <w:t>2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0027F" w14:textId="77777777" w:rsidR="00206346" w:rsidRDefault="00206346" w:rsidP="00070F7D">
      <w:r>
        <w:separator/>
      </w:r>
    </w:p>
  </w:footnote>
  <w:footnote w:type="continuationSeparator" w:id="0">
    <w:p w14:paraId="26A5FE17" w14:textId="77777777" w:rsidR="00206346" w:rsidRDefault="00206346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346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58C8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2025-08-13T17:09:00Z</dcterms:modified>
</cp:coreProperties>
</file>