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50E798" w14:textId="66988357" w:rsidR="00080E55" w:rsidRPr="00225F37" w:rsidRDefault="00705431" w:rsidP="00705431">
      <w:pPr>
        <w:pStyle w:val="Titre1"/>
      </w:pPr>
      <w:bookmarkStart w:id="0" w:name="_Toc201744496"/>
      <w:r w:rsidRPr="00225F37">
        <w:t>fracture de l’extremité supérieure de l’humérus</w:t>
      </w:r>
      <w:bookmarkEnd w:id="0"/>
    </w:p>
    <w:p w14:paraId="03F38503" w14:textId="22D70B16" w:rsidR="00705431" w:rsidRDefault="004D7FD0" w:rsidP="004D7FD0">
      <w:pPr>
        <w:pStyle w:val="Titre2"/>
      </w:pPr>
      <w:bookmarkStart w:id="1" w:name="_Toc201744497"/>
      <w:r>
        <w:t>Rappel anatomique</w:t>
      </w:r>
      <w:bookmarkEnd w:id="1"/>
      <w:r>
        <w:t xml:space="preserve"> </w:t>
      </w:r>
    </w:p>
    <w:p w14:paraId="72A608E2" w14:textId="206EB24C" w:rsidR="004D7FD0" w:rsidRDefault="004D7FD0" w:rsidP="004D7FD0">
      <w:pPr>
        <w:pStyle w:val="Titre2"/>
      </w:pPr>
      <w:bookmarkStart w:id="2" w:name="_Toc201744498"/>
      <w:r>
        <w:t>Généralités</w:t>
      </w:r>
      <w:bookmarkEnd w:id="2"/>
    </w:p>
    <w:p w14:paraId="01D9265E" w14:textId="696F3630" w:rsidR="004D7FD0" w:rsidRDefault="004D7FD0" w:rsidP="004D7FD0">
      <w:r>
        <w:t xml:space="preserve">Fréquentes : souvent sujet âgé </w:t>
      </w:r>
    </w:p>
    <w:p w14:paraId="31966691" w14:textId="3711BF42" w:rsidR="004D7FD0" w:rsidRDefault="004D7FD0" w:rsidP="004D7FD0">
      <w:r>
        <w:t xml:space="preserve">Fracture extra articulaire ou articulaire </w:t>
      </w:r>
    </w:p>
    <w:p w14:paraId="37CFA607" w14:textId="41B3FAB5" w:rsidR="004D7FD0" w:rsidRDefault="004D7FD0" w:rsidP="004D7FD0">
      <w:r>
        <w:t xml:space="preserve">Chez l’enfant </w:t>
      </w:r>
    </w:p>
    <w:p w14:paraId="5886BD27" w14:textId="72D12B7D" w:rsidR="004D7FD0" w:rsidRDefault="004D7FD0" w:rsidP="004D7FD0">
      <w:pPr>
        <w:numPr>
          <w:ilvl w:val="1"/>
          <w:numId w:val="8"/>
        </w:numPr>
      </w:pPr>
      <w:r>
        <w:t>Fracture en bois vert de la métaphyse</w:t>
      </w:r>
    </w:p>
    <w:p w14:paraId="5D7E56B7" w14:textId="6D346C49" w:rsidR="004D7FD0" w:rsidRDefault="004D7FD0" w:rsidP="004D7FD0">
      <w:pPr>
        <w:numPr>
          <w:ilvl w:val="1"/>
          <w:numId w:val="8"/>
        </w:numPr>
      </w:pPr>
      <w:r>
        <w:t>Fracture décollement épiphysaires</w:t>
      </w:r>
    </w:p>
    <w:p w14:paraId="5A1106D2" w14:textId="3568738C" w:rsidR="004D7FD0" w:rsidRDefault="004D7FD0" w:rsidP="004D7FD0">
      <w:r>
        <w:t>Risque majeur : raideur de l’épaule</w:t>
      </w:r>
    </w:p>
    <w:p w14:paraId="0325952F" w14:textId="57A8AAFB" w:rsidR="004D7FD0" w:rsidRDefault="004D7FD0" w:rsidP="004D7FD0">
      <w:pPr>
        <w:pStyle w:val="Titre2"/>
      </w:pPr>
      <w:bookmarkStart w:id="3" w:name="_Toc201744499"/>
      <w:r>
        <w:t>Etiologies</w:t>
      </w:r>
      <w:bookmarkEnd w:id="3"/>
    </w:p>
    <w:p w14:paraId="08F4C478" w14:textId="239ADBB5" w:rsidR="004D7FD0" w:rsidRDefault="004D7FD0" w:rsidP="004D7FD0">
      <w:r>
        <w:t>Traumatisme minime chez les personnes âgées : (ostéoporose) et violent chez les sujets jeunes</w:t>
      </w:r>
    </w:p>
    <w:p w14:paraId="75A5170E" w14:textId="0860535D" w:rsidR="004D7FD0" w:rsidRDefault="004D7FD0" w:rsidP="004D7FD0">
      <w:r>
        <w:t xml:space="preserve">Mécanisme indirecte par chute sur la main ou le coude, soit en abduction soit en adduction </w:t>
      </w:r>
    </w:p>
    <w:p w14:paraId="7B77CD15" w14:textId="0B071D17" w:rsidR="004D7FD0" w:rsidRDefault="004D7FD0" w:rsidP="004D7FD0">
      <w:r>
        <w:t>Mécanisme direct : par chute sur le moignon de l’épaule</w:t>
      </w:r>
    </w:p>
    <w:p w14:paraId="2AF3C4F0" w14:textId="3804487E" w:rsidR="00CB4369" w:rsidRDefault="00CB4369" w:rsidP="00CB4369">
      <w:pPr>
        <w:pStyle w:val="Titre2"/>
      </w:pPr>
      <w:bookmarkStart w:id="4" w:name="_Toc201744500"/>
      <w:r>
        <w:t>Anatomie pathologique</w:t>
      </w:r>
      <w:bookmarkEnd w:id="4"/>
    </w:p>
    <w:p w14:paraId="175DD707" w14:textId="689281A2" w:rsidR="00CB4369" w:rsidRDefault="00CB4369" w:rsidP="00CB4369">
      <w:pPr>
        <w:pStyle w:val="Titre3"/>
      </w:pPr>
      <w:bookmarkStart w:id="5" w:name="_Toc201744501"/>
      <w:proofErr w:type="gramStart"/>
      <w:r>
        <w:t>Lésion osseuses</w:t>
      </w:r>
      <w:proofErr w:type="gramEnd"/>
      <w:r>
        <w:t> : classification de DUPRAC</w:t>
      </w:r>
      <w:bookmarkEnd w:id="5"/>
    </w:p>
    <w:p w14:paraId="1B1D4D4A" w14:textId="0B63297D" w:rsidR="00CB4369" w:rsidRDefault="00CB4369" w:rsidP="00CB4369">
      <w:pPr>
        <w:pStyle w:val="Titre4"/>
      </w:pPr>
      <w:r>
        <w:t>Fracture extra-articulaire</w:t>
      </w:r>
    </w:p>
    <w:p w14:paraId="763B54B5" w14:textId="5BD59EC9" w:rsidR="00CB4369" w:rsidRDefault="00CB4369" w:rsidP="00CB4369">
      <w:r>
        <w:t>Fractures isolées des tubérosité (Trochiter, Trochin)</w:t>
      </w:r>
    </w:p>
    <w:p w14:paraId="066BFF45" w14:textId="7F618874" w:rsidR="00CB4369" w:rsidRDefault="00CB4369" w:rsidP="00CB4369">
      <w:r>
        <w:t xml:space="preserve">Fracture sous-tubérositaire (col chirurgical) : </w:t>
      </w:r>
    </w:p>
    <w:p w14:paraId="5EAC99AF" w14:textId="549A9DC0" w:rsidR="00CB4369" w:rsidRDefault="00CB4369" w:rsidP="00CB4369">
      <w:pPr>
        <w:numPr>
          <w:ilvl w:val="1"/>
          <w:numId w:val="8"/>
        </w:numPr>
      </w:pPr>
      <w:r>
        <w:t>Engrenées 70%, en abduction ou and addiction</w:t>
      </w:r>
    </w:p>
    <w:p w14:paraId="3456F451" w14:textId="15CD7EDC" w:rsidR="00CB4369" w:rsidRDefault="00CB4369" w:rsidP="00CB4369">
      <w:pPr>
        <w:numPr>
          <w:ilvl w:val="1"/>
          <w:numId w:val="8"/>
        </w:numPr>
      </w:pPr>
      <w:r>
        <w:t xml:space="preserve">Non engrenées 30%, en abduction ou an adduction </w:t>
      </w:r>
    </w:p>
    <w:p w14:paraId="1F9978EA" w14:textId="689895E1" w:rsidR="00CB4369" w:rsidRDefault="00CB4369" w:rsidP="00CB4369">
      <w:r>
        <w:t xml:space="preserve">Fracture sous tubérositaire + fracture d’une tubérosité </w:t>
      </w:r>
    </w:p>
    <w:p w14:paraId="40BADABD" w14:textId="1810A9FE" w:rsidR="00CB4369" w:rsidRDefault="003263E5" w:rsidP="003263E5">
      <w:pPr>
        <w:pStyle w:val="Titre4"/>
      </w:pPr>
      <w:r>
        <w:t xml:space="preserve">Fractures articulaires </w:t>
      </w:r>
    </w:p>
    <w:p w14:paraId="36AB86CE" w14:textId="5C9AE2CF" w:rsidR="003263E5" w:rsidRDefault="003263E5" w:rsidP="003263E5">
      <w:r>
        <w:t>Fractures céphaliques : col anatomique</w:t>
      </w:r>
    </w:p>
    <w:p w14:paraId="5E90823A" w14:textId="529B4ED1" w:rsidR="003263E5" w:rsidRDefault="003263E5" w:rsidP="003263E5">
      <w:r>
        <w:t xml:space="preserve">Fracture céphalo-tubérositaires </w:t>
      </w:r>
    </w:p>
    <w:p w14:paraId="14C022AC" w14:textId="605F31BF" w:rsidR="003263E5" w:rsidRDefault="003263E5" w:rsidP="003263E5">
      <w:r>
        <w:t xml:space="preserve">Fracture luxation </w:t>
      </w:r>
    </w:p>
    <w:p w14:paraId="3F045A4F" w14:textId="613D3BFC" w:rsidR="009D4FBC" w:rsidRDefault="009D4FBC" w:rsidP="009D4FBC">
      <w:pPr>
        <w:pStyle w:val="Titre4"/>
      </w:pPr>
      <w:r>
        <w:t xml:space="preserve">Chez l’enfant </w:t>
      </w:r>
    </w:p>
    <w:p w14:paraId="0533123C" w14:textId="73D27167" w:rsidR="009D4FBC" w:rsidRDefault="009D4FBC" w:rsidP="009D4FBC">
      <w:r>
        <w:t>Fracture en bois vert</w:t>
      </w:r>
    </w:p>
    <w:p w14:paraId="414655A2" w14:textId="41DC67B9" w:rsidR="009D4FBC" w:rsidRDefault="009D4FBC" w:rsidP="009D4FBC">
      <w:r>
        <w:t>Fracture décollement épiphysaires</w:t>
      </w:r>
    </w:p>
    <w:p w14:paraId="3F8405FD" w14:textId="3D485BA7" w:rsidR="009D4FBC" w:rsidRDefault="009D4FBC" w:rsidP="009D4FBC">
      <w:pPr>
        <w:pStyle w:val="Titre3"/>
      </w:pPr>
      <w:bookmarkStart w:id="6" w:name="_Toc201744502"/>
      <w:r>
        <w:t>Lésions associées</w:t>
      </w:r>
      <w:bookmarkEnd w:id="6"/>
    </w:p>
    <w:p w14:paraId="1BF0F401" w14:textId="46BC3E6A" w:rsidR="009D4FBC" w:rsidRDefault="009D4FBC" w:rsidP="009D4FBC">
      <w:r>
        <w:t>V, N, peau, muscule</w:t>
      </w:r>
    </w:p>
    <w:p w14:paraId="606B80AE" w14:textId="183C7EEE" w:rsidR="009D4FBC" w:rsidRDefault="009D4FBC" w:rsidP="009D4FBC">
      <w:r>
        <w:t>Nerveuses : plexus brachial, circonflexe, radial</w:t>
      </w:r>
    </w:p>
    <w:p w14:paraId="7CC4AF30" w14:textId="1DCFA1AE" w:rsidR="009D4FBC" w:rsidRDefault="009D4FBC" w:rsidP="009D4FBC">
      <w:r>
        <w:lastRenderedPageBreak/>
        <w:t>Cutanées : ouverture rare</w:t>
      </w:r>
    </w:p>
    <w:p w14:paraId="417A4B08" w14:textId="129C17FD" w:rsidR="009D4FBC" w:rsidRDefault="009D4FBC" w:rsidP="009D4FBC">
      <w:r>
        <w:t>…</w:t>
      </w:r>
    </w:p>
    <w:p w14:paraId="09510521" w14:textId="18F5AC8E" w:rsidR="009D4FBC" w:rsidRDefault="009D4FBC" w:rsidP="009D4FBC">
      <w:pPr>
        <w:pStyle w:val="Titre2"/>
      </w:pPr>
      <w:bookmarkStart w:id="7" w:name="_Toc201744503"/>
      <w:r>
        <w:t>Diagnostic</w:t>
      </w:r>
      <w:bookmarkEnd w:id="7"/>
    </w:p>
    <w:p w14:paraId="48EC3E36" w14:textId="40B65437" w:rsidR="009D4FBC" w:rsidRDefault="009D4FBC" w:rsidP="009D4FBC">
      <w:pPr>
        <w:pStyle w:val="Titre3"/>
      </w:pPr>
      <w:bookmarkStart w:id="8" w:name="_Toc201744504"/>
      <w:r>
        <w:t>Interrogatoire</w:t>
      </w:r>
      <w:bookmarkEnd w:id="8"/>
    </w:p>
    <w:p w14:paraId="28C0E94D" w14:textId="15B027F1" w:rsidR="009D4FBC" w:rsidRDefault="009D4FBC" w:rsidP="009D4FBC">
      <w:r>
        <w:t>Cf premier chapitre</w:t>
      </w:r>
      <w:r w:rsidR="00203D89">
        <w:t xml:space="preserve"> (fracture claviculaire)</w:t>
      </w:r>
    </w:p>
    <w:p w14:paraId="1AF51B27" w14:textId="17136495" w:rsidR="009D4FBC" w:rsidRDefault="009D4FBC" w:rsidP="009D4FBC">
      <w:pPr>
        <w:pStyle w:val="Titre3"/>
      </w:pPr>
      <w:bookmarkStart w:id="9" w:name="_Toc201744505"/>
      <w:r>
        <w:t>Examen clinique</w:t>
      </w:r>
      <w:bookmarkEnd w:id="9"/>
    </w:p>
    <w:p w14:paraId="5E066B6A" w14:textId="3B317B70" w:rsidR="009D4FBC" w:rsidRDefault="009D4FBC" w:rsidP="009D4FBC">
      <w:pPr>
        <w:pStyle w:val="Titre4"/>
      </w:pPr>
      <w:r>
        <w:t>Signe de fracture</w:t>
      </w:r>
    </w:p>
    <w:p w14:paraId="74593D85" w14:textId="0FD30BF3" w:rsidR="009D4FBC" w:rsidRDefault="009D4FBC" w:rsidP="009D4FBC">
      <w:r>
        <w:t>Inspection : déformation, ecchymose tardive de Hennequin (48h), gonflement</w:t>
      </w:r>
    </w:p>
    <w:p w14:paraId="48C9B8DE" w14:textId="27149406" w:rsidR="009D4FBC" w:rsidRDefault="009D4FBC" w:rsidP="009D4FBC">
      <w:r>
        <w:t>Palpation : point douloureux, petits mouvements du bras (engrènement)</w:t>
      </w:r>
    </w:p>
    <w:p w14:paraId="1DFAB394" w14:textId="140F1587" w:rsidR="009D4FBC" w:rsidRDefault="009D4FBC" w:rsidP="009D4FBC">
      <w:pPr>
        <w:numPr>
          <w:ilvl w:val="1"/>
          <w:numId w:val="8"/>
        </w:numPr>
      </w:pPr>
      <w:r>
        <w:t xml:space="preserve">Recherche d’une luxation associée </w:t>
      </w:r>
    </w:p>
    <w:p w14:paraId="78CB7E76" w14:textId="449A4523" w:rsidR="009D4FBC" w:rsidRDefault="009D4FBC" w:rsidP="009D4FBC">
      <w:r>
        <w:t xml:space="preserve">Bilan </w:t>
      </w:r>
    </w:p>
    <w:p w14:paraId="6D5B3670" w14:textId="5504314C" w:rsidR="009D4FBC" w:rsidRDefault="009D4FBC" w:rsidP="009D4FBC">
      <w:pPr>
        <w:numPr>
          <w:ilvl w:val="1"/>
          <w:numId w:val="8"/>
        </w:numPr>
      </w:pPr>
      <w:r>
        <w:t>Locorégional et général (clinique et paraclinique)</w:t>
      </w:r>
    </w:p>
    <w:p w14:paraId="3FE92E89" w14:textId="13B39F86" w:rsidR="009D4FBC" w:rsidRDefault="009D4FBC" w:rsidP="009D4FBC">
      <w:pPr>
        <w:pStyle w:val="Titre3"/>
      </w:pPr>
      <w:bookmarkStart w:id="10" w:name="_Toc201744506"/>
      <w:r>
        <w:t>Examen radiologique</w:t>
      </w:r>
      <w:bookmarkEnd w:id="10"/>
    </w:p>
    <w:p w14:paraId="6CFB9318" w14:textId="183A3033" w:rsidR="009D4FBC" w:rsidRDefault="009D4FBC" w:rsidP="009D4FBC">
      <w:pPr>
        <w:pStyle w:val="Titre4"/>
      </w:pPr>
      <w:r>
        <w:t xml:space="preserve">Technique </w:t>
      </w:r>
    </w:p>
    <w:p w14:paraId="2646C5F7" w14:textId="4724E092" w:rsidR="009D4FBC" w:rsidRDefault="009D4FBC" w:rsidP="009D4FBC">
      <w:r>
        <w:t xml:space="preserve">Radio de face et de profil </w:t>
      </w:r>
      <w:proofErr w:type="spellStart"/>
      <w:r>
        <w:t>transthocique</w:t>
      </w:r>
      <w:proofErr w:type="spellEnd"/>
      <w:r>
        <w:t>, TDM</w:t>
      </w:r>
    </w:p>
    <w:p w14:paraId="2935E48D" w14:textId="2675B4EC" w:rsidR="009D4FBC" w:rsidRDefault="009D4FBC" w:rsidP="009D4FBC">
      <w:pPr>
        <w:pStyle w:val="Titre4"/>
      </w:pPr>
      <w:r>
        <w:t>Résultat : ana-</w:t>
      </w:r>
      <w:proofErr w:type="spellStart"/>
      <w:r>
        <w:t>path</w:t>
      </w:r>
      <w:proofErr w:type="spellEnd"/>
    </w:p>
    <w:p w14:paraId="04CE43B5" w14:textId="25D47FD7" w:rsidR="009D4FBC" w:rsidRDefault="009D4FBC" w:rsidP="009D4FBC">
      <w:r>
        <w:t xml:space="preserve">Trait : extra articulaire ou articulaire </w:t>
      </w:r>
    </w:p>
    <w:p w14:paraId="032164C2" w14:textId="29E57769" w:rsidR="009D4FBC" w:rsidRDefault="009D4FBC" w:rsidP="009D4FBC">
      <w:r>
        <w:t>Déplacement : engrène ou no engrené, en abduction ou adduction</w:t>
      </w:r>
    </w:p>
    <w:p w14:paraId="74189B54" w14:textId="6B3465EF" w:rsidR="009D4FBC" w:rsidRDefault="009D4FBC" w:rsidP="009D4FBC">
      <w:r>
        <w:t>Lésion associée : luxation de l’épaule</w:t>
      </w:r>
    </w:p>
    <w:p w14:paraId="1A0C1423" w14:textId="1B5C573C" w:rsidR="009D4FBC" w:rsidRDefault="009D4FBC" w:rsidP="009D4FBC">
      <w:pPr>
        <w:pStyle w:val="Titre2"/>
      </w:pPr>
      <w:bookmarkStart w:id="11" w:name="_Toc201744507"/>
      <w:r>
        <w:t>Evolution et pronostic</w:t>
      </w:r>
      <w:bookmarkEnd w:id="11"/>
    </w:p>
    <w:p w14:paraId="408B6320" w14:textId="4B7ADE46" w:rsidR="009D4FBC" w:rsidRDefault="009D4FBC" w:rsidP="009D4FBC">
      <w:r>
        <w:t xml:space="preserve">Favorable </w:t>
      </w:r>
    </w:p>
    <w:p w14:paraId="43AE02AA" w14:textId="4DE6C7C2" w:rsidR="009D4FBC" w:rsidRDefault="009D4FBC" w:rsidP="009D4FBC">
      <w:pPr>
        <w:numPr>
          <w:ilvl w:val="1"/>
          <w:numId w:val="8"/>
        </w:numPr>
      </w:pPr>
      <w:r>
        <w:t xml:space="preserve">Consolidation 45 jours, rééducation </w:t>
      </w:r>
    </w:p>
    <w:p w14:paraId="16338525" w14:textId="0AF3FA07" w:rsidR="009D4FBC" w:rsidRDefault="009D4FBC" w:rsidP="009D4FBC">
      <w:r>
        <w:t>Complications immédiates</w:t>
      </w:r>
    </w:p>
    <w:p w14:paraId="199B340F" w14:textId="6B818977" w:rsidR="009D4FBC" w:rsidRDefault="009D4FBC" w:rsidP="009D4FBC">
      <w:pPr>
        <w:numPr>
          <w:ilvl w:val="1"/>
          <w:numId w:val="8"/>
        </w:numPr>
      </w:pPr>
      <w:r>
        <w:t>Vasculo-nerveuse, cutanée</w:t>
      </w:r>
    </w:p>
    <w:p w14:paraId="34C79A40" w14:textId="4804DA03" w:rsidR="009D4FBC" w:rsidRDefault="009D4FBC" w:rsidP="009D4FBC">
      <w:r>
        <w:t>Complication tardive</w:t>
      </w:r>
    </w:p>
    <w:p w14:paraId="145A3E92" w14:textId="4A91C8EC" w:rsidR="009D4FBC" w:rsidRDefault="009D4FBC" w:rsidP="009D4FBC">
      <w:pPr>
        <w:numPr>
          <w:ilvl w:val="1"/>
          <w:numId w:val="8"/>
        </w:numPr>
      </w:pPr>
      <w:r>
        <w:t>Cal vicieux, pseudarthrose, raideur de l’épaule, nécrose de la tête humérale</w:t>
      </w:r>
    </w:p>
    <w:p w14:paraId="7CF4D908" w14:textId="21EDD8D1" w:rsidR="009D4FBC" w:rsidRDefault="009D4FBC" w:rsidP="009D4FBC">
      <w:pPr>
        <w:pStyle w:val="Titre2"/>
      </w:pPr>
      <w:bookmarkStart w:id="12" w:name="_Toc201744508"/>
      <w:r>
        <w:t>Traitement</w:t>
      </w:r>
      <w:bookmarkEnd w:id="12"/>
      <w:r>
        <w:t xml:space="preserve"> </w:t>
      </w:r>
    </w:p>
    <w:p w14:paraId="3CA3A112" w14:textId="24037889" w:rsidR="009D4FBC" w:rsidRDefault="009D4FBC" w:rsidP="009D4FBC">
      <w:pPr>
        <w:pStyle w:val="Titre3"/>
      </w:pPr>
      <w:bookmarkStart w:id="13" w:name="_Toc201744509"/>
      <w:r>
        <w:t>Fracture non déplacée</w:t>
      </w:r>
      <w:bookmarkEnd w:id="13"/>
    </w:p>
    <w:p w14:paraId="01EEACF9" w14:textId="5977E55E" w:rsidR="009D4FBC" w:rsidRDefault="009D4FBC" w:rsidP="009D4FBC">
      <w:r>
        <w:t xml:space="preserve">Echarpe contre écharpe </w:t>
      </w:r>
    </w:p>
    <w:p w14:paraId="67A72E06" w14:textId="786A2305" w:rsidR="009D4FBC" w:rsidRDefault="009D4FBC" w:rsidP="009D4FBC">
      <w:r>
        <w:t>Après 15 jours mobilisation douce</w:t>
      </w:r>
    </w:p>
    <w:p w14:paraId="4EDC6B33" w14:textId="3562C7C4" w:rsidR="009D4FBC" w:rsidRDefault="009D4FBC" w:rsidP="009D4FBC">
      <w:r>
        <w:t>30 jours : balancement</w:t>
      </w:r>
    </w:p>
    <w:p w14:paraId="2A77FED6" w14:textId="3BE69BE8" w:rsidR="009D4FBC" w:rsidRDefault="009D4FBC" w:rsidP="009D4FBC">
      <w:pPr>
        <w:pStyle w:val="Titre3"/>
      </w:pPr>
      <w:bookmarkStart w:id="14" w:name="_Toc201744510"/>
      <w:r>
        <w:lastRenderedPageBreak/>
        <w:t>Fracture déplacée</w:t>
      </w:r>
      <w:bookmarkEnd w:id="14"/>
    </w:p>
    <w:p w14:paraId="18F7F657" w14:textId="3832CC8E" w:rsidR="009D4FBC" w:rsidRDefault="009D4FBC" w:rsidP="00203D89">
      <w:pPr>
        <w:pStyle w:val="Titre4"/>
      </w:pPr>
      <w:r>
        <w:t xml:space="preserve"> Réduction lente</w:t>
      </w:r>
    </w:p>
    <w:p w14:paraId="62BECC97" w14:textId="54F38874" w:rsidR="009D4FBC" w:rsidRDefault="009D4FBC" w:rsidP="009D4FBC">
      <w:pPr>
        <w:numPr>
          <w:ilvl w:val="1"/>
          <w:numId w:val="8"/>
        </w:numPr>
      </w:pPr>
      <w:r>
        <w:t>La plâtre di « pendant » réduit la fracture par son seul poids. La nuit il faut ajouter du traction</w:t>
      </w:r>
      <w:proofErr w:type="gramStart"/>
      <w:r>
        <w:t xml:space="preserve"> ….</w:t>
      </w:r>
      <w:proofErr w:type="gramEnd"/>
      <w:r>
        <w:t>.</w:t>
      </w:r>
    </w:p>
    <w:p w14:paraId="08627B83" w14:textId="7763BF10" w:rsidR="009D4FBC" w:rsidRDefault="009D4FBC" w:rsidP="00203D89">
      <w:pPr>
        <w:pStyle w:val="Titre4"/>
      </w:pPr>
      <w:r>
        <w:t>Réduction sous amplificateur ou a ciel ouverte</w:t>
      </w:r>
    </w:p>
    <w:p w14:paraId="011CE46A" w14:textId="0B0A7580" w:rsidR="009D4FBC" w:rsidRDefault="009D4FBC" w:rsidP="009D4FBC">
      <w:pPr>
        <w:numPr>
          <w:ilvl w:val="1"/>
          <w:numId w:val="8"/>
        </w:numPr>
      </w:pPr>
      <w:r>
        <w:t>Fixation par broche, vis, enclouage élastique, enclouage verrouillée, plaque vissée ou voir prothèse (gravité e terrain)</w:t>
      </w:r>
    </w:p>
    <w:p w14:paraId="70DC7E0A" w14:textId="5848AEC8" w:rsidR="009D4FBC" w:rsidRDefault="009D4FBC" w:rsidP="009D4FBC">
      <w:pPr>
        <w:numPr>
          <w:ilvl w:val="1"/>
          <w:numId w:val="8"/>
        </w:numPr>
      </w:pPr>
      <w:r>
        <w:t xml:space="preserve">Immobilisation </w:t>
      </w:r>
    </w:p>
    <w:p w14:paraId="13E1458D" w14:textId="3961DA33" w:rsidR="00826F26" w:rsidRDefault="009D4FBC" w:rsidP="00F927BA">
      <w:pPr>
        <w:numPr>
          <w:ilvl w:val="1"/>
          <w:numId w:val="8"/>
        </w:numPr>
      </w:pPr>
      <w:r>
        <w:t xml:space="preserve">Rééducation </w:t>
      </w:r>
    </w:p>
    <w:p w14:paraId="79FCB72E" w14:textId="77777777" w:rsidR="00F927BA" w:rsidRDefault="00F927BA" w:rsidP="00F927BA">
      <w:pPr>
        <w:numPr>
          <w:ilvl w:val="1"/>
          <w:numId w:val="8"/>
        </w:numPr>
      </w:pPr>
    </w:p>
    <w:p w14:paraId="0FBC4C68" w14:textId="2B4DB68C" w:rsidR="009B2AAE" w:rsidRPr="00AB471D" w:rsidRDefault="009B2AAE" w:rsidP="009B2AAE">
      <w:pPr>
        <w:pStyle w:val="Sous-titre"/>
        <w:rPr>
          <w:lang w:eastAsia="zh-CN"/>
        </w:rPr>
      </w:pPr>
    </w:p>
    <w:sectPr w:rsidR="009B2AAE" w:rsidRPr="00AB471D" w:rsidSect="00A11211">
      <w:headerReference w:type="default" r:id="rId8"/>
      <w:footerReference w:type="default" r:id="rId9"/>
      <w:pgSz w:w="8391" w:h="11907" w:code="11"/>
      <w:pgMar w:top="567" w:right="567" w:bottom="567" w:left="851" w:header="283" w:footer="283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8E65EA" w14:textId="77777777" w:rsidR="00A66E65" w:rsidRDefault="00A66E65" w:rsidP="00070F7D">
      <w:r>
        <w:separator/>
      </w:r>
    </w:p>
  </w:endnote>
  <w:endnote w:type="continuationSeparator" w:id="0">
    <w:p w14:paraId="2E81FE98" w14:textId="77777777" w:rsidR="00A66E65" w:rsidRDefault="00A66E65" w:rsidP="00070F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9B7F91" w14:textId="554CBDF9" w:rsidR="00A11211" w:rsidRDefault="00A11211" w:rsidP="00070F7D">
    <w:pPr>
      <w:pStyle w:val="Pieddepage"/>
      <w:numPr>
        <w:ilvl w:val="0"/>
        <w:numId w:val="0"/>
      </w:numPr>
      <w:ind w:left="284"/>
    </w:pPr>
    <w:r>
      <w:tab/>
    </w:r>
    <w:sdt>
      <w:sdtPr>
        <w:id w:val="1734502809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sz w:val="24"/>
                <w:szCs w:val="24"/>
              </w:rPr>
              <w:fldChar w:fldCharType="begin"/>
            </w:r>
            <w:r>
              <w:instrText>PAGE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sz w:val="24"/>
                <w:szCs w:val="24"/>
              </w:rPr>
              <w:fldChar w:fldCharType="begin"/>
            </w:r>
            <w:r>
              <w:instrText>SECTIONPAGES</w:instrText>
            </w:r>
            <w:r>
              <w:rPr>
                <w:sz w:val="24"/>
                <w:szCs w:val="24"/>
              </w:rPr>
              <w:fldChar w:fldCharType="separate"/>
            </w:r>
            <w:r w:rsidR="00F927BA">
              <w:rPr>
                <w:noProof/>
              </w:rPr>
              <w:t>3</w:t>
            </w:r>
            <w:r>
              <w:rPr>
                <w:sz w:val="24"/>
                <w:szCs w:val="24"/>
              </w:rPr>
              <w:fldChar w:fldCharType="end"/>
            </w:r>
          </w:sdtContent>
        </w:sdt>
      </w:sdtContent>
    </w:sdt>
  </w:p>
  <w:p w14:paraId="6B79D5DC" w14:textId="77777777" w:rsidR="006D2B9E" w:rsidRDefault="006D2B9E" w:rsidP="00070F7D">
    <w:pPr>
      <w:pStyle w:val="Pieddepage"/>
      <w:numPr>
        <w:ilvl w:val="0"/>
        <w:numId w:val="0"/>
      </w:numPr>
      <w:ind w:lef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09CB34" w14:textId="77777777" w:rsidR="00A66E65" w:rsidRDefault="00A66E65" w:rsidP="00070F7D">
      <w:r>
        <w:separator/>
      </w:r>
    </w:p>
  </w:footnote>
  <w:footnote w:type="continuationSeparator" w:id="0">
    <w:p w14:paraId="3CC640B7" w14:textId="77777777" w:rsidR="00A66E65" w:rsidRDefault="00A66E65" w:rsidP="00070F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59635D" w14:textId="34C005E6" w:rsidR="006D2B9E" w:rsidRPr="00D15D81" w:rsidRDefault="006D2B9E" w:rsidP="00F4291D">
    <w:pPr>
      <w:pStyle w:val="En-tte"/>
      <w:numPr>
        <w:ilvl w:val="0"/>
        <w:numId w:val="0"/>
      </w:numPr>
      <w:jc w:val="center"/>
      <w:rPr>
        <w:lang w:val="en-US"/>
      </w:rPr>
    </w:pPr>
    <w:r w:rsidRPr="00D15D81">
      <w:rPr>
        <w:lang w:val="en-US"/>
      </w:rPr>
      <w:t>ZICO</w:t>
    </w:r>
    <w:r w:rsidR="0022738F" w:rsidRPr="00D15D81">
      <w:rPr>
        <w:lang w:val="en-US"/>
      </w:rPr>
      <w:t>’s note taking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732A0"/>
    <w:multiLevelType w:val="multilevel"/>
    <w:tmpl w:val="20000025"/>
    <w:lvl w:ilvl="0">
      <w:start w:val="1"/>
      <w:numFmt w:val="decimal"/>
      <w:pStyle w:val="Titre1"/>
      <w:lvlText w:val="%1"/>
      <w:lvlJc w:val="left"/>
      <w:pPr>
        <w:ind w:left="2558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28D0F4F"/>
    <w:multiLevelType w:val="hybridMultilevel"/>
    <w:tmpl w:val="269EF4AE"/>
    <w:lvl w:ilvl="0" w:tplc="30801FD8">
      <w:start w:val="1"/>
      <w:numFmt w:val="decimal"/>
      <w:lvlText w:val="%1."/>
      <w:lvlJc w:val="left"/>
      <w:pPr>
        <w:ind w:left="2880" w:hanging="360"/>
      </w:pPr>
    </w:lvl>
    <w:lvl w:ilvl="1" w:tplc="040C0019" w:tentative="1">
      <w:start w:val="1"/>
      <w:numFmt w:val="lowerLetter"/>
      <w:lvlText w:val="%2."/>
      <w:lvlJc w:val="left"/>
      <w:pPr>
        <w:ind w:left="3600" w:hanging="360"/>
      </w:pPr>
    </w:lvl>
    <w:lvl w:ilvl="2" w:tplc="040C001B" w:tentative="1">
      <w:start w:val="1"/>
      <w:numFmt w:val="lowerRoman"/>
      <w:lvlText w:val="%3."/>
      <w:lvlJc w:val="right"/>
      <w:pPr>
        <w:ind w:left="4320" w:hanging="180"/>
      </w:pPr>
    </w:lvl>
    <w:lvl w:ilvl="3" w:tplc="040C000F" w:tentative="1">
      <w:start w:val="1"/>
      <w:numFmt w:val="decimal"/>
      <w:lvlText w:val="%4."/>
      <w:lvlJc w:val="left"/>
      <w:pPr>
        <w:ind w:left="5040" w:hanging="360"/>
      </w:pPr>
    </w:lvl>
    <w:lvl w:ilvl="4" w:tplc="040C0019" w:tentative="1">
      <w:start w:val="1"/>
      <w:numFmt w:val="lowerLetter"/>
      <w:lvlText w:val="%5."/>
      <w:lvlJc w:val="left"/>
      <w:pPr>
        <w:ind w:left="5760" w:hanging="360"/>
      </w:pPr>
    </w:lvl>
    <w:lvl w:ilvl="5" w:tplc="040C001B" w:tentative="1">
      <w:start w:val="1"/>
      <w:numFmt w:val="lowerRoman"/>
      <w:lvlText w:val="%6."/>
      <w:lvlJc w:val="right"/>
      <w:pPr>
        <w:ind w:left="6480" w:hanging="180"/>
      </w:pPr>
    </w:lvl>
    <w:lvl w:ilvl="6" w:tplc="040C000F" w:tentative="1">
      <w:start w:val="1"/>
      <w:numFmt w:val="decimal"/>
      <w:lvlText w:val="%7."/>
      <w:lvlJc w:val="left"/>
      <w:pPr>
        <w:ind w:left="7200" w:hanging="360"/>
      </w:pPr>
    </w:lvl>
    <w:lvl w:ilvl="7" w:tplc="040C0019" w:tentative="1">
      <w:start w:val="1"/>
      <w:numFmt w:val="lowerLetter"/>
      <w:lvlText w:val="%8."/>
      <w:lvlJc w:val="left"/>
      <w:pPr>
        <w:ind w:left="7920" w:hanging="360"/>
      </w:pPr>
    </w:lvl>
    <w:lvl w:ilvl="8" w:tplc="040C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" w15:restartNumberingAfterBreak="0">
    <w:nsid w:val="137114EF"/>
    <w:multiLevelType w:val="multilevel"/>
    <w:tmpl w:val="8EC4779C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3" w15:restartNumberingAfterBreak="0">
    <w:nsid w:val="141523BF"/>
    <w:multiLevelType w:val="hybridMultilevel"/>
    <w:tmpl w:val="07D4CDFE"/>
    <w:lvl w:ilvl="0" w:tplc="AC3C1E4E">
      <w:start w:val="1"/>
      <w:numFmt w:val="low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89682B"/>
    <w:multiLevelType w:val="hybridMultilevel"/>
    <w:tmpl w:val="D6B0D858"/>
    <w:lvl w:ilvl="0" w:tplc="ABE26BB0">
      <w:start w:val="1"/>
      <w:numFmt w:val="upperLetter"/>
      <w:lvlText w:val="%1.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5D054B4E"/>
    <w:multiLevelType w:val="hybridMultilevel"/>
    <w:tmpl w:val="3ABE10B4"/>
    <w:lvl w:ilvl="0" w:tplc="304C4CA6">
      <w:start w:val="1"/>
      <w:numFmt w:val="lowerLetter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4320" w:hanging="360"/>
      </w:pPr>
    </w:lvl>
    <w:lvl w:ilvl="2" w:tplc="040C001B" w:tentative="1">
      <w:start w:val="1"/>
      <w:numFmt w:val="lowerRoman"/>
      <w:lvlText w:val="%3."/>
      <w:lvlJc w:val="right"/>
      <w:pPr>
        <w:ind w:left="5040" w:hanging="180"/>
      </w:pPr>
    </w:lvl>
    <w:lvl w:ilvl="3" w:tplc="040C000F" w:tentative="1">
      <w:start w:val="1"/>
      <w:numFmt w:val="decimal"/>
      <w:lvlText w:val="%4."/>
      <w:lvlJc w:val="left"/>
      <w:pPr>
        <w:ind w:left="5760" w:hanging="360"/>
      </w:pPr>
    </w:lvl>
    <w:lvl w:ilvl="4" w:tplc="040C0019" w:tentative="1">
      <w:start w:val="1"/>
      <w:numFmt w:val="lowerLetter"/>
      <w:lvlText w:val="%5."/>
      <w:lvlJc w:val="left"/>
      <w:pPr>
        <w:ind w:left="6480" w:hanging="360"/>
      </w:pPr>
    </w:lvl>
    <w:lvl w:ilvl="5" w:tplc="040C001B" w:tentative="1">
      <w:start w:val="1"/>
      <w:numFmt w:val="lowerRoman"/>
      <w:lvlText w:val="%6."/>
      <w:lvlJc w:val="right"/>
      <w:pPr>
        <w:ind w:left="7200" w:hanging="180"/>
      </w:pPr>
    </w:lvl>
    <w:lvl w:ilvl="6" w:tplc="040C000F" w:tentative="1">
      <w:start w:val="1"/>
      <w:numFmt w:val="decimal"/>
      <w:lvlText w:val="%7."/>
      <w:lvlJc w:val="left"/>
      <w:pPr>
        <w:ind w:left="7920" w:hanging="360"/>
      </w:pPr>
    </w:lvl>
    <w:lvl w:ilvl="7" w:tplc="040C0019" w:tentative="1">
      <w:start w:val="1"/>
      <w:numFmt w:val="lowerLetter"/>
      <w:lvlText w:val="%8."/>
      <w:lvlJc w:val="left"/>
      <w:pPr>
        <w:ind w:left="8640" w:hanging="360"/>
      </w:pPr>
    </w:lvl>
    <w:lvl w:ilvl="8" w:tplc="040C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6" w15:restartNumberingAfterBreak="0">
    <w:nsid w:val="607B27BF"/>
    <w:multiLevelType w:val="multilevel"/>
    <w:tmpl w:val="82823BB4"/>
    <w:lvl w:ilvl="0">
      <w:start w:val="1"/>
      <w:numFmt w:val="bullet"/>
      <w:pStyle w:val="Normal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7" w15:restartNumberingAfterBreak="0">
    <w:nsid w:val="7DBE38C0"/>
    <w:multiLevelType w:val="hybridMultilevel"/>
    <w:tmpl w:val="DCC2957A"/>
    <w:lvl w:ilvl="0" w:tplc="ADDA25CA">
      <w:start w:val="1"/>
      <w:numFmt w:val="upperRoman"/>
      <w:lvlText w:val="%1."/>
      <w:lvlJc w:val="righ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7"/>
  </w:num>
  <w:num w:numId="3">
    <w:abstractNumId w:val="4"/>
  </w:num>
  <w:num w:numId="4">
    <w:abstractNumId w:val="1"/>
  </w:num>
  <w:num w:numId="5">
    <w:abstractNumId w:val="5"/>
  </w:num>
  <w:num w:numId="6">
    <w:abstractNumId w:val="3"/>
  </w:num>
  <w:num w:numId="7">
    <w:abstractNumId w:val="7"/>
    <w:lvlOverride w:ilvl="0">
      <w:startOverride w:val="1"/>
    </w:lvlOverride>
  </w:num>
  <w:num w:numId="8">
    <w:abstractNumId w:val="6"/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85D"/>
    <w:rsid w:val="000066D5"/>
    <w:rsid w:val="0001589C"/>
    <w:rsid w:val="00020172"/>
    <w:rsid w:val="00041192"/>
    <w:rsid w:val="00042892"/>
    <w:rsid w:val="00045897"/>
    <w:rsid w:val="00054DDA"/>
    <w:rsid w:val="00070F7D"/>
    <w:rsid w:val="00071D99"/>
    <w:rsid w:val="00080E55"/>
    <w:rsid w:val="000A3B66"/>
    <w:rsid w:val="000A5568"/>
    <w:rsid w:val="000B0F0C"/>
    <w:rsid w:val="000B2690"/>
    <w:rsid w:val="000C10DC"/>
    <w:rsid w:val="000C544E"/>
    <w:rsid w:val="000E4585"/>
    <w:rsid w:val="000F53A7"/>
    <w:rsid w:val="00101651"/>
    <w:rsid w:val="00111EF3"/>
    <w:rsid w:val="00121233"/>
    <w:rsid w:val="00130337"/>
    <w:rsid w:val="00140472"/>
    <w:rsid w:val="00155458"/>
    <w:rsid w:val="00156740"/>
    <w:rsid w:val="00164266"/>
    <w:rsid w:val="0016558E"/>
    <w:rsid w:val="001658ED"/>
    <w:rsid w:val="00175DA4"/>
    <w:rsid w:val="00177DB6"/>
    <w:rsid w:val="001841C1"/>
    <w:rsid w:val="00185E4A"/>
    <w:rsid w:val="0019487A"/>
    <w:rsid w:val="001A1B38"/>
    <w:rsid w:val="001B3AC9"/>
    <w:rsid w:val="001D568C"/>
    <w:rsid w:val="001E7AB8"/>
    <w:rsid w:val="001F0D61"/>
    <w:rsid w:val="00200010"/>
    <w:rsid w:val="00203D89"/>
    <w:rsid w:val="00206693"/>
    <w:rsid w:val="00216A4C"/>
    <w:rsid w:val="002174AA"/>
    <w:rsid w:val="00225F37"/>
    <w:rsid w:val="0022738F"/>
    <w:rsid w:val="00254D35"/>
    <w:rsid w:val="00262154"/>
    <w:rsid w:val="00275336"/>
    <w:rsid w:val="00277F33"/>
    <w:rsid w:val="00283D1C"/>
    <w:rsid w:val="00293FE5"/>
    <w:rsid w:val="002973F4"/>
    <w:rsid w:val="002A2CBF"/>
    <w:rsid w:val="002B056C"/>
    <w:rsid w:val="002C285C"/>
    <w:rsid w:val="002D0688"/>
    <w:rsid w:val="003024A9"/>
    <w:rsid w:val="00316386"/>
    <w:rsid w:val="00320DB1"/>
    <w:rsid w:val="003263E5"/>
    <w:rsid w:val="00326A63"/>
    <w:rsid w:val="00334944"/>
    <w:rsid w:val="00334A4B"/>
    <w:rsid w:val="00343807"/>
    <w:rsid w:val="0035615C"/>
    <w:rsid w:val="00380E13"/>
    <w:rsid w:val="00382912"/>
    <w:rsid w:val="0038652C"/>
    <w:rsid w:val="00392FA6"/>
    <w:rsid w:val="00395D61"/>
    <w:rsid w:val="003B757E"/>
    <w:rsid w:val="003C04C8"/>
    <w:rsid w:val="003D1FC5"/>
    <w:rsid w:val="003D72C7"/>
    <w:rsid w:val="003E0861"/>
    <w:rsid w:val="003F3827"/>
    <w:rsid w:val="00407E60"/>
    <w:rsid w:val="0041285A"/>
    <w:rsid w:val="0042730D"/>
    <w:rsid w:val="004339D8"/>
    <w:rsid w:val="00435404"/>
    <w:rsid w:val="00435795"/>
    <w:rsid w:val="00453724"/>
    <w:rsid w:val="00460ABB"/>
    <w:rsid w:val="004632C2"/>
    <w:rsid w:val="00471082"/>
    <w:rsid w:val="00471AE6"/>
    <w:rsid w:val="00473818"/>
    <w:rsid w:val="004968E6"/>
    <w:rsid w:val="004A4570"/>
    <w:rsid w:val="004A78E5"/>
    <w:rsid w:val="004B5E22"/>
    <w:rsid w:val="004C30FC"/>
    <w:rsid w:val="004C61D0"/>
    <w:rsid w:val="004C70E6"/>
    <w:rsid w:val="004D550E"/>
    <w:rsid w:val="004D7FD0"/>
    <w:rsid w:val="004F5EB7"/>
    <w:rsid w:val="005028AA"/>
    <w:rsid w:val="005156D4"/>
    <w:rsid w:val="00537D0A"/>
    <w:rsid w:val="00542C1B"/>
    <w:rsid w:val="005539CF"/>
    <w:rsid w:val="00564086"/>
    <w:rsid w:val="00565A08"/>
    <w:rsid w:val="00574326"/>
    <w:rsid w:val="005823CF"/>
    <w:rsid w:val="00582BAD"/>
    <w:rsid w:val="005956D0"/>
    <w:rsid w:val="005A1D5D"/>
    <w:rsid w:val="005A61D8"/>
    <w:rsid w:val="005B2DF5"/>
    <w:rsid w:val="005D2416"/>
    <w:rsid w:val="005D619B"/>
    <w:rsid w:val="005E0059"/>
    <w:rsid w:val="005E136E"/>
    <w:rsid w:val="005E5327"/>
    <w:rsid w:val="006078CE"/>
    <w:rsid w:val="00610959"/>
    <w:rsid w:val="006134A5"/>
    <w:rsid w:val="006158A0"/>
    <w:rsid w:val="00633DF5"/>
    <w:rsid w:val="006361ED"/>
    <w:rsid w:val="00667904"/>
    <w:rsid w:val="00676BCB"/>
    <w:rsid w:val="0068210B"/>
    <w:rsid w:val="006A50B8"/>
    <w:rsid w:val="006B0DAA"/>
    <w:rsid w:val="006C4FC8"/>
    <w:rsid w:val="006D2120"/>
    <w:rsid w:val="006D2B9E"/>
    <w:rsid w:val="006D64F4"/>
    <w:rsid w:val="006E45DE"/>
    <w:rsid w:val="00700CE7"/>
    <w:rsid w:val="007018D3"/>
    <w:rsid w:val="00702686"/>
    <w:rsid w:val="00705431"/>
    <w:rsid w:val="00723A98"/>
    <w:rsid w:val="0073021A"/>
    <w:rsid w:val="00743C82"/>
    <w:rsid w:val="00750DA7"/>
    <w:rsid w:val="00751428"/>
    <w:rsid w:val="00753A28"/>
    <w:rsid w:val="00754C25"/>
    <w:rsid w:val="00760D4C"/>
    <w:rsid w:val="007678D5"/>
    <w:rsid w:val="00767EDE"/>
    <w:rsid w:val="00782533"/>
    <w:rsid w:val="007825E5"/>
    <w:rsid w:val="00790D43"/>
    <w:rsid w:val="0079335A"/>
    <w:rsid w:val="00794E81"/>
    <w:rsid w:val="007A2FCD"/>
    <w:rsid w:val="007A3B06"/>
    <w:rsid w:val="007A589F"/>
    <w:rsid w:val="007A6638"/>
    <w:rsid w:val="007A6F36"/>
    <w:rsid w:val="007C0552"/>
    <w:rsid w:val="007C1553"/>
    <w:rsid w:val="007C5967"/>
    <w:rsid w:val="007F4ED9"/>
    <w:rsid w:val="00803464"/>
    <w:rsid w:val="00812F14"/>
    <w:rsid w:val="00816524"/>
    <w:rsid w:val="00824F08"/>
    <w:rsid w:val="00825A00"/>
    <w:rsid w:val="00826F26"/>
    <w:rsid w:val="00846339"/>
    <w:rsid w:val="0084654A"/>
    <w:rsid w:val="008633B5"/>
    <w:rsid w:val="00882B3F"/>
    <w:rsid w:val="008A62CA"/>
    <w:rsid w:val="008C0025"/>
    <w:rsid w:val="008C5B7E"/>
    <w:rsid w:val="008C79D9"/>
    <w:rsid w:val="008D0A55"/>
    <w:rsid w:val="008E41E5"/>
    <w:rsid w:val="008E7704"/>
    <w:rsid w:val="00900F5C"/>
    <w:rsid w:val="009039EC"/>
    <w:rsid w:val="009317C6"/>
    <w:rsid w:val="00934DE8"/>
    <w:rsid w:val="009509FA"/>
    <w:rsid w:val="0096078D"/>
    <w:rsid w:val="009A5036"/>
    <w:rsid w:val="009B2AAE"/>
    <w:rsid w:val="009C157E"/>
    <w:rsid w:val="009D455C"/>
    <w:rsid w:val="009D4FBC"/>
    <w:rsid w:val="009F5A1E"/>
    <w:rsid w:val="00A04675"/>
    <w:rsid w:val="00A11211"/>
    <w:rsid w:val="00A14802"/>
    <w:rsid w:val="00A14845"/>
    <w:rsid w:val="00A202E7"/>
    <w:rsid w:val="00A23288"/>
    <w:rsid w:val="00A259CC"/>
    <w:rsid w:val="00A374AD"/>
    <w:rsid w:val="00A5221F"/>
    <w:rsid w:val="00A57A3E"/>
    <w:rsid w:val="00A62B5A"/>
    <w:rsid w:val="00A655DA"/>
    <w:rsid w:val="00A665F2"/>
    <w:rsid w:val="00A66E65"/>
    <w:rsid w:val="00A6787A"/>
    <w:rsid w:val="00A754BE"/>
    <w:rsid w:val="00A77EF5"/>
    <w:rsid w:val="00A8644D"/>
    <w:rsid w:val="00A95F24"/>
    <w:rsid w:val="00AA01C2"/>
    <w:rsid w:val="00AA48B2"/>
    <w:rsid w:val="00AA4978"/>
    <w:rsid w:val="00AB0760"/>
    <w:rsid w:val="00AB471D"/>
    <w:rsid w:val="00AB6063"/>
    <w:rsid w:val="00AD7931"/>
    <w:rsid w:val="00AE60A3"/>
    <w:rsid w:val="00AE6E4F"/>
    <w:rsid w:val="00B07034"/>
    <w:rsid w:val="00B213EC"/>
    <w:rsid w:val="00B23DD7"/>
    <w:rsid w:val="00B33E74"/>
    <w:rsid w:val="00B40760"/>
    <w:rsid w:val="00B41202"/>
    <w:rsid w:val="00B53464"/>
    <w:rsid w:val="00B635DD"/>
    <w:rsid w:val="00B74E66"/>
    <w:rsid w:val="00B75A24"/>
    <w:rsid w:val="00B7647E"/>
    <w:rsid w:val="00B85134"/>
    <w:rsid w:val="00BA3E0C"/>
    <w:rsid w:val="00BA576A"/>
    <w:rsid w:val="00BB7092"/>
    <w:rsid w:val="00BB760F"/>
    <w:rsid w:val="00BC4194"/>
    <w:rsid w:val="00BE4DFB"/>
    <w:rsid w:val="00BF5775"/>
    <w:rsid w:val="00C0279C"/>
    <w:rsid w:val="00C03BD7"/>
    <w:rsid w:val="00C10B88"/>
    <w:rsid w:val="00C24D9F"/>
    <w:rsid w:val="00C311D3"/>
    <w:rsid w:val="00C7405C"/>
    <w:rsid w:val="00C77D3E"/>
    <w:rsid w:val="00C91390"/>
    <w:rsid w:val="00C92AFE"/>
    <w:rsid w:val="00C93BB2"/>
    <w:rsid w:val="00C96FC8"/>
    <w:rsid w:val="00CB0524"/>
    <w:rsid w:val="00CB1413"/>
    <w:rsid w:val="00CB4369"/>
    <w:rsid w:val="00CC31BC"/>
    <w:rsid w:val="00CC7442"/>
    <w:rsid w:val="00CD251C"/>
    <w:rsid w:val="00CE529E"/>
    <w:rsid w:val="00CE6A07"/>
    <w:rsid w:val="00CE70DC"/>
    <w:rsid w:val="00CF2CE0"/>
    <w:rsid w:val="00CF2E78"/>
    <w:rsid w:val="00D120C7"/>
    <w:rsid w:val="00D1285D"/>
    <w:rsid w:val="00D1475B"/>
    <w:rsid w:val="00D15D81"/>
    <w:rsid w:val="00D34830"/>
    <w:rsid w:val="00D40F9E"/>
    <w:rsid w:val="00D414C4"/>
    <w:rsid w:val="00D420BC"/>
    <w:rsid w:val="00D429F4"/>
    <w:rsid w:val="00D47CB2"/>
    <w:rsid w:val="00D51459"/>
    <w:rsid w:val="00D54686"/>
    <w:rsid w:val="00D646FB"/>
    <w:rsid w:val="00D73808"/>
    <w:rsid w:val="00D74055"/>
    <w:rsid w:val="00D740A1"/>
    <w:rsid w:val="00D756AA"/>
    <w:rsid w:val="00D77845"/>
    <w:rsid w:val="00D82370"/>
    <w:rsid w:val="00D92E05"/>
    <w:rsid w:val="00D95517"/>
    <w:rsid w:val="00DA59CB"/>
    <w:rsid w:val="00DB5BE9"/>
    <w:rsid w:val="00DC14A8"/>
    <w:rsid w:val="00DC4D3D"/>
    <w:rsid w:val="00DD04AD"/>
    <w:rsid w:val="00DD47F3"/>
    <w:rsid w:val="00DF5076"/>
    <w:rsid w:val="00DF5090"/>
    <w:rsid w:val="00DF7967"/>
    <w:rsid w:val="00E11EF5"/>
    <w:rsid w:val="00E60C96"/>
    <w:rsid w:val="00E657EB"/>
    <w:rsid w:val="00E72037"/>
    <w:rsid w:val="00E7695E"/>
    <w:rsid w:val="00E7779B"/>
    <w:rsid w:val="00EA15DE"/>
    <w:rsid w:val="00EA25A1"/>
    <w:rsid w:val="00EA3334"/>
    <w:rsid w:val="00EA4F84"/>
    <w:rsid w:val="00ED0676"/>
    <w:rsid w:val="00ED76FF"/>
    <w:rsid w:val="00EF4729"/>
    <w:rsid w:val="00F02978"/>
    <w:rsid w:val="00F40FBF"/>
    <w:rsid w:val="00F4262B"/>
    <w:rsid w:val="00F4291D"/>
    <w:rsid w:val="00F46BAA"/>
    <w:rsid w:val="00F509A0"/>
    <w:rsid w:val="00F579A0"/>
    <w:rsid w:val="00F6051A"/>
    <w:rsid w:val="00F6191F"/>
    <w:rsid w:val="00F739A2"/>
    <w:rsid w:val="00F7663E"/>
    <w:rsid w:val="00F8416D"/>
    <w:rsid w:val="00F87FC8"/>
    <w:rsid w:val="00F9123C"/>
    <w:rsid w:val="00F9216C"/>
    <w:rsid w:val="00F927BA"/>
    <w:rsid w:val="00F95249"/>
    <w:rsid w:val="00FA74C6"/>
    <w:rsid w:val="00FB0E35"/>
    <w:rsid w:val="00FB12B6"/>
    <w:rsid w:val="00FB47D5"/>
    <w:rsid w:val="00FD1DDF"/>
    <w:rsid w:val="00FD2E3A"/>
    <w:rsid w:val="00FE77AE"/>
    <w:rsid w:val="00FF4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C45FCC"/>
  <w15:chartTrackingRefBased/>
  <w15:docId w15:val="{19B1E0CF-8027-4955-94BC-C65DC143A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F7D"/>
    <w:pPr>
      <w:numPr>
        <w:numId w:val="8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6158A0"/>
    <w:pPr>
      <w:keepNext/>
      <w:keepLines/>
      <w:numPr>
        <w:numId w:val="10"/>
      </w:numPr>
      <w:pBdr>
        <w:top w:val="dashSmallGap" w:sz="4" w:space="1" w:color="auto"/>
        <w:left w:val="dashSmallGap" w:sz="4" w:space="4" w:color="auto"/>
        <w:bottom w:val="single" w:sz="4" w:space="1" w:color="auto"/>
        <w:right w:val="dashSmallGap" w:sz="4" w:space="4" w:color="auto"/>
      </w:pBdr>
      <w:spacing w:before="120"/>
      <w:ind w:left="1991"/>
      <w:jc w:val="center"/>
      <w:outlineLvl w:val="0"/>
    </w:pPr>
    <w:rPr>
      <w:rFonts w:eastAsiaTheme="majorEastAsia" w:cstheme="majorBidi"/>
      <w:caps/>
      <w:color w:val="FF0000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F2E78"/>
    <w:pPr>
      <w:keepNext/>
      <w:keepLines/>
      <w:numPr>
        <w:ilvl w:val="1"/>
        <w:numId w:val="10"/>
      </w:numPr>
      <w:tabs>
        <w:tab w:val="num" w:pos="360"/>
      </w:tabs>
      <w:spacing w:before="40"/>
      <w:outlineLvl w:val="1"/>
    </w:pPr>
    <w:rPr>
      <w:rFonts w:eastAsiaTheme="majorEastAsia" w:cstheme="majorBidi"/>
      <w:color w:val="2E74B5" w:themeColor="accent1" w:themeShade="BF"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F2E78"/>
    <w:pPr>
      <w:keepNext/>
      <w:keepLines/>
      <w:numPr>
        <w:ilvl w:val="2"/>
        <w:numId w:val="10"/>
      </w:numPr>
      <w:tabs>
        <w:tab w:val="num" w:pos="360"/>
      </w:tabs>
      <w:spacing w:before="40"/>
      <w:outlineLvl w:val="2"/>
    </w:pPr>
    <w:rPr>
      <w:rFonts w:eastAsiaTheme="majorEastAsia" w:cstheme="majorBidi"/>
      <w:color w:val="00B050"/>
      <w:sz w:val="24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F2E78"/>
    <w:pPr>
      <w:keepNext/>
      <w:keepLines/>
      <w:numPr>
        <w:ilvl w:val="3"/>
        <w:numId w:val="10"/>
      </w:numPr>
      <w:tabs>
        <w:tab w:val="num" w:pos="360"/>
      </w:tabs>
      <w:spacing w:before="120" w:after="120"/>
      <w:outlineLvl w:val="3"/>
    </w:pPr>
    <w:rPr>
      <w:rFonts w:eastAsiaTheme="majorEastAsia" w:cstheme="majorBidi"/>
      <w:iCs/>
      <w:color w:val="7030A0"/>
      <w:sz w:val="22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AE60A3"/>
    <w:pPr>
      <w:keepNext/>
      <w:keepLines/>
      <w:numPr>
        <w:ilvl w:val="4"/>
        <w:numId w:val="10"/>
      </w:numPr>
      <w:tabs>
        <w:tab w:val="num" w:pos="360"/>
      </w:tabs>
      <w:spacing w:before="160" w:after="120"/>
      <w:outlineLvl w:val="4"/>
    </w:pPr>
    <w:rPr>
      <w:rFonts w:eastAsiaTheme="majorEastAsia" w:cstheme="majorBidi"/>
      <w:color w:val="002060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CF2E78"/>
    <w:pPr>
      <w:keepNext/>
      <w:keepLines/>
      <w:numPr>
        <w:ilvl w:val="5"/>
        <w:numId w:val="10"/>
      </w:numPr>
      <w:tabs>
        <w:tab w:val="num" w:pos="360"/>
      </w:tabs>
      <w:spacing w:before="160" w:after="120"/>
      <w:outlineLvl w:val="5"/>
    </w:pPr>
    <w:rPr>
      <w:rFonts w:eastAsiaTheme="majorEastAsia" w:cstheme="majorBidi"/>
      <w:color w:val="ED7D31" w:themeColor="accent2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EF4729"/>
    <w:pPr>
      <w:keepNext/>
      <w:keepLines/>
      <w:numPr>
        <w:ilvl w:val="6"/>
        <w:numId w:val="10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4729"/>
    <w:pPr>
      <w:keepNext/>
      <w:keepLines/>
      <w:numPr>
        <w:ilvl w:val="7"/>
        <w:numId w:val="10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4729"/>
    <w:pPr>
      <w:keepNext/>
      <w:keepLines/>
      <w:numPr>
        <w:ilvl w:val="8"/>
        <w:numId w:val="10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158A0"/>
    <w:rPr>
      <w:rFonts w:ascii="Times New Roman" w:eastAsiaTheme="majorEastAsia" w:hAnsi="Times New Roman" w:cstheme="majorBidi"/>
      <w:caps/>
      <w:color w:val="FF0000"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CF2E78"/>
    <w:rPr>
      <w:rFonts w:ascii="Times New Roman" w:eastAsiaTheme="majorEastAsia" w:hAnsi="Times New Roman" w:cstheme="majorBidi"/>
      <w:color w:val="2E74B5" w:themeColor="accent1" w:themeShade="BF"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CF2E78"/>
    <w:rPr>
      <w:rFonts w:ascii="Times New Roman" w:eastAsiaTheme="majorEastAsia" w:hAnsi="Times New Roman" w:cstheme="majorBidi"/>
      <w:color w:val="00B050"/>
      <w:sz w:val="24"/>
      <w:szCs w:val="24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CF2E78"/>
    <w:rPr>
      <w:rFonts w:ascii="Times New Roman" w:eastAsiaTheme="majorEastAsia" w:hAnsi="Times New Roman" w:cstheme="majorBidi"/>
      <w:iCs/>
      <w:color w:val="7030A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AE60A3"/>
    <w:rPr>
      <w:rFonts w:ascii="Times New Roman" w:eastAsiaTheme="majorEastAsia" w:hAnsi="Times New Roman" w:cstheme="majorBidi"/>
      <w:color w:val="002060"/>
    </w:rPr>
  </w:style>
  <w:style w:type="character" w:customStyle="1" w:styleId="Titre6Car">
    <w:name w:val="Titre 6 Car"/>
    <w:basedOn w:val="Policepardfaut"/>
    <w:link w:val="Titre6"/>
    <w:uiPriority w:val="9"/>
    <w:rsid w:val="00CF2E78"/>
    <w:rPr>
      <w:rFonts w:ascii="Times New Roman" w:eastAsiaTheme="majorEastAsia" w:hAnsi="Times New Roman" w:cstheme="majorBidi"/>
      <w:color w:val="ED7D31" w:themeColor="accent2"/>
      <w:sz w:val="20"/>
    </w:rPr>
  </w:style>
  <w:style w:type="character" w:customStyle="1" w:styleId="Titre7Car">
    <w:name w:val="Titre 7 Car"/>
    <w:basedOn w:val="Policepardfaut"/>
    <w:link w:val="Titre7"/>
    <w:uiPriority w:val="9"/>
    <w:rsid w:val="00EF472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EF472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EF472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re">
    <w:name w:val="Title"/>
    <w:basedOn w:val="Normal"/>
    <w:next w:val="Normal"/>
    <w:link w:val="TitreCar"/>
    <w:uiPriority w:val="10"/>
    <w:qFormat/>
    <w:rsid w:val="00CF2E78"/>
    <w:pPr>
      <w:numPr>
        <w:numId w:val="0"/>
      </w:numPr>
      <w:spacing w:before="480" w:after="480" w:line="360" w:lineRule="auto"/>
      <w:contextualSpacing/>
      <w:jc w:val="center"/>
    </w:pPr>
    <w:rPr>
      <w:rFonts w:eastAsiaTheme="majorEastAsia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character" w:customStyle="1" w:styleId="TitreCar">
    <w:name w:val="Titre Car"/>
    <w:basedOn w:val="Policepardfaut"/>
    <w:link w:val="Titre"/>
    <w:uiPriority w:val="10"/>
    <w:rsid w:val="00CF2E78"/>
    <w:rPr>
      <w:rFonts w:ascii="Times New Roman" w:eastAsiaTheme="majorEastAsia" w:hAnsi="Times New Roman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2E78"/>
    <w:pPr>
      <w:numPr>
        <w:ilvl w:val="1"/>
        <w:numId w:val="0"/>
      </w:numPr>
    </w:pPr>
    <w:rPr>
      <w:rFonts w:eastAsiaTheme="minorEastAsia"/>
      <w:i/>
      <w:color w:val="BF8F00" w:themeColor="accent4" w:themeShade="BF"/>
      <w:spacing w:val="15"/>
      <w:sz w:val="24"/>
      <w:u w:val="single"/>
    </w:rPr>
  </w:style>
  <w:style w:type="character" w:customStyle="1" w:styleId="Sous-titreCar">
    <w:name w:val="Sous-titre Car"/>
    <w:basedOn w:val="Policepardfaut"/>
    <w:link w:val="Sous-titre"/>
    <w:uiPriority w:val="11"/>
    <w:rsid w:val="00CF2E78"/>
    <w:rPr>
      <w:rFonts w:eastAsiaTheme="minorEastAsia"/>
      <w:i/>
      <w:color w:val="BF8F00" w:themeColor="accent4" w:themeShade="BF"/>
      <w:spacing w:val="15"/>
      <w:sz w:val="24"/>
      <w:u w:val="single"/>
    </w:rPr>
  </w:style>
  <w:style w:type="paragraph" w:styleId="En-tte">
    <w:name w:val="header"/>
    <w:basedOn w:val="Normal"/>
    <w:link w:val="En-tteCar"/>
    <w:uiPriority w:val="99"/>
    <w:unhideWhenUsed/>
    <w:rsid w:val="00CF2E78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F2E78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CF2E78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F2E78"/>
    <w:rPr>
      <w:rFonts w:ascii="Times New Roman" w:hAnsi="Times New Roman"/>
      <w:sz w:val="20"/>
    </w:rPr>
  </w:style>
  <w:style w:type="paragraph" w:styleId="Sansinterligne">
    <w:name w:val="No Spacing"/>
    <w:uiPriority w:val="1"/>
    <w:qFormat/>
    <w:rsid w:val="00CF2E78"/>
    <w:pPr>
      <w:spacing w:after="0" w:line="240" w:lineRule="auto"/>
      <w:ind w:left="360" w:hanging="360"/>
    </w:pPr>
    <w:rPr>
      <w:rFonts w:ascii="Times New Roman" w:hAnsi="Times New Roman"/>
      <w:sz w:val="20"/>
    </w:rPr>
  </w:style>
  <w:style w:type="paragraph" w:styleId="Date">
    <w:name w:val="Date"/>
    <w:basedOn w:val="Normal"/>
    <w:next w:val="Normal"/>
    <w:link w:val="DateCar"/>
    <w:uiPriority w:val="99"/>
    <w:semiHidden/>
    <w:unhideWhenUsed/>
    <w:rsid w:val="0022738F"/>
  </w:style>
  <w:style w:type="character" w:customStyle="1" w:styleId="DateCar">
    <w:name w:val="Date Car"/>
    <w:basedOn w:val="Policepardfaut"/>
    <w:link w:val="Date"/>
    <w:uiPriority w:val="99"/>
    <w:semiHidden/>
    <w:rsid w:val="0022738F"/>
    <w:rPr>
      <w:rFonts w:ascii="Times New Roman" w:hAnsi="Times New Roman"/>
      <w:sz w:val="20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275336"/>
    <w:pPr>
      <w:spacing w:line="240" w:lineRule="auto"/>
    </w:pPr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275336"/>
    <w:rPr>
      <w:rFonts w:ascii="Times New Roman" w:hAnsi="Times New Roman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275336"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sid w:val="00D15D81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D15D81"/>
    <w:pPr>
      <w:spacing w:line="240" w:lineRule="auto"/>
    </w:pPr>
    <w:rPr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D15D81"/>
    <w:rPr>
      <w:rFonts w:ascii="Times New Roman" w:hAnsi="Times New Roman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D15D81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D15D81"/>
    <w:rPr>
      <w:rFonts w:ascii="Times New Roman" w:hAnsi="Times New Roman"/>
      <w:b/>
      <w:bCs/>
      <w:sz w:val="20"/>
      <w:szCs w:val="20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1F0D61"/>
    <w:pPr>
      <w:numPr>
        <w:numId w:val="0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/>
      <w:jc w:val="left"/>
      <w:outlineLvl w:val="9"/>
    </w:pPr>
    <w:rPr>
      <w:rFonts w:asciiTheme="majorHAnsi" w:hAnsiTheme="majorHAnsi"/>
      <w:caps w:val="0"/>
      <w:color w:val="2E74B5" w:themeColor="accent1" w:themeShade="BF"/>
      <w:sz w:val="32"/>
      <w:lang w:eastAsia="zh-CN"/>
    </w:rPr>
  </w:style>
  <w:style w:type="paragraph" w:styleId="TM1">
    <w:name w:val="toc 1"/>
    <w:basedOn w:val="Normal"/>
    <w:next w:val="Normal"/>
    <w:autoRedefine/>
    <w:uiPriority w:val="39"/>
    <w:unhideWhenUsed/>
    <w:rsid w:val="001F0D61"/>
    <w:pPr>
      <w:tabs>
        <w:tab w:val="left" w:pos="440"/>
        <w:tab w:val="right" w:leader="dot" w:pos="6963"/>
      </w:tabs>
      <w:spacing w:after="100"/>
      <w:ind w:left="0"/>
    </w:pPr>
    <w:rPr>
      <w:noProof/>
      <w:color w:val="C00000"/>
      <w:sz w:val="16"/>
      <w:szCs w:val="18"/>
    </w:rPr>
  </w:style>
  <w:style w:type="paragraph" w:styleId="TM3">
    <w:name w:val="toc 3"/>
    <w:basedOn w:val="Normal"/>
    <w:next w:val="Normal"/>
    <w:autoRedefine/>
    <w:uiPriority w:val="39"/>
    <w:unhideWhenUsed/>
    <w:rsid w:val="001F0D61"/>
    <w:pPr>
      <w:spacing w:after="100"/>
      <w:ind w:left="400"/>
    </w:pPr>
  </w:style>
  <w:style w:type="paragraph" w:styleId="TM2">
    <w:name w:val="toc 2"/>
    <w:basedOn w:val="Normal"/>
    <w:next w:val="Normal"/>
    <w:autoRedefine/>
    <w:uiPriority w:val="39"/>
    <w:unhideWhenUsed/>
    <w:rsid w:val="001F0D61"/>
    <w:pPr>
      <w:spacing w:after="100"/>
      <w:ind w:left="200"/>
    </w:pPr>
  </w:style>
  <w:style w:type="paragraph" w:styleId="TM4">
    <w:name w:val="toc 4"/>
    <w:basedOn w:val="Normal"/>
    <w:next w:val="Normal"/>
    <w:autoRedefine/>
    <w:uiPriority w:val="39"/>
    <w:unhideWhenUsed/>
    <w:rsid w:val="001F0D61"/>
    <w:pPr>
      <w:numPr>
        <w:numId w:val="0"/>
      </w:numPr>
      <w:spacing w:after="100"/>
      <w:ind w:left="660"/>
    </w:pPr>
    <w:rPr>
      <w:rFonts w:asciiTheme="minorHAnsi" w:eastAsiaTheme="minorEastAsia" w:hAnsiTheme="minorHAnsi"/>
      <w:sz w:val="22"/>
      <w:lang w:eastAsia="zh-CN"/>
    </w:rPr>
  </w:style>
  <w:style w:type="paragraph" w:styleId="TM5">
    <w:name w:val="toc 5"/>
    <w:basedOn w:val="Normal"/>
    <w:next w:val="Normal"/>
    <w:autoRedefine/>
    <w:uiPriority w:val="39"/>
    <w:unhideWhenUsed/>
    <w:rsid w:val="001F0D61"/>
    <w:pPr>
      <w:numPr>
        <w:numId w:val="0"/>
      </w:numPr>
      <w:spacing w:after="100"/>
      <w:ind w:left="880"/>
    </w:pPr>
    <w:rPr>
      <w:rFonts w:asciiTheme="minorHAnsi" w:eastAsiaTheme="minorEastAsia" w:hAnsiTheme="minorHAnsi"/>
      <w:sz w:val="22"/>
      <w:lang w:eastAsia="zh-CN"/>
    </w:rPr>
  </w:style>
  <w:style w:type="paragraph" w:styleId="TM6">
    <w:name w:val="toc 6"/>
    <w:basedOn w:val="Normal"/>
    <w:next w:val="Normal"/>
    <w:autoRedefine/>
    <w:uiPriority w:val="39"/>
    <w:unhideWhenUsed/>
    <w:rsid w:val="001F0D61"/>
    <w:pPr>
      <w:numPr>
        <w:numId w:val="0"/>
      </w:numPr>
      <w:spacing w:after="100"/>
      <w:ind w:left="1100"/>
    </w:pPr>
    <w:rPr>
      <w:rFonts w:asciiTheme="minorHAnsi" w:eastAsiaTheme="minorEastAsia" w:hAnsiTheme="minorHAnsi"/>
      <w:sz w:val="22"/>
      <w:lang w:eastAsia="zh-CN"/>
    </w:rPr>
  </w:style>
  <w:style w:type="paragraph" w:styleId="TM7">
    <w:name w:val="toc 7"/>
    <w:basedOn w:val="Normal"/>
    <w:next w:val="Normal"/>
    <w:autoRedefine/>
    <w:uiPriority w:val="39"/>
    <w:unhideWhenUsed/>
    <w:rsid w:val="001F0D61"/>
    <w:pPr>
      <w:numPr>
        <w:numId w:val="0"/>
      </w:numPr>
      <w:spacing w:after="100"/>
      <w:ind w:left="1320"/>
    </w:pPr>
    <w:rPr>
      <w:rFonts w:asciiTheme="minorHAnsi" w:eastAsiaTheme="minorEastAsia" w:hAnsiTheme="minorHAnsi"/>
      <w:sz w:val="22"/>
      <w:lang w:eastAsia="zh-CN"/>
    </w:rPr>
  </w:style>
  <w:style w:type="paragraph" w:styleId="TM8">
    <w:name w:val="toc 8"/>
    <w:basedOn w:val="Normal"/>
    <w:next w:val="Normal"/>
    <w:autoRedefine/>
    <w:uiPriority w:val="39"/>
    <w:unhideWhenUsed/>
    <w:rsid w:val="001F0D61"/>
    <w:pPr>
      <w:numPr>
        <w:numId w:val="0"/>
      </w:numPr>
      <w:spacing w:after="100"/>
      <w:ind w:left="1540"/>
    </w:pPr>
    <w:rPr>
      <w:rFonts w:asciiTheme="minorHAnsi" w:eastAsiaTheme="minorEastAsia" w:hAnsiTheme="minorHAnsi"/>
      <w:sz w:val="22"/>
      <w:lang w:eastAsia="zh-CN"/>
    </w:rPr>
  </w:style>
  <w:style w:type="paragraph" w:styleId="TM9">
    <w:name w:val="toc 9"/>
    <w:basedOn w:val="Normal"/>
    <w:next w:val="Normal"/>
    <w:autoRedefine/>
    <w:uiPriority w:val="39"/>
    <w:unhideWhenUsed/>
    <w:rsid w:val="001F0D61"/>
    <w:pPr>
      <w:numPr>
        <w:numId w:val="0"/>
      </w:numPr>
      <w:spacing w:after="100"/>
      <w:ind w:left="1760"/>
    </w:pPr>
    <w:rPr>
      <w:rFonts w:asciiTheme="minorHAnsi" w:eastAsiaTheme="minorEastAsia" w:hAnsiTheme="minorHAnsi"/>
      <w:sz w:val="22"/>
      <w:lang w:eastAsia="zh-CN"/>
    </w:rPr>
  </w:style>
  <w:style w:type="character" w:styleId="Lienhypertexte">
    <w:name w:val="Hyperlink"/>
    <w:basedOn w:val="Policepardfaut"/>
    <w:uiPriority w:val="99"/>
    <w:unhideWhenUsed/>
    <w:rsid w:val="001F0D61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F0D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5ABDC5-24B8-461C-B5E7-7BBB1BBAA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3355</TotalTime>
  <Pages>3</Pages>
  <Words>363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ZICO</dc:creator>
  <cp:keywords/>
  <dc:description/>
  <cp:lastModifiedBy>ZICO</cp:lastModifiedBy>
  <cp:revision>260</cp:revision>
  <dcterms:created xsi:type="dcterms:W3CDTF">2025-03-30T11:16:00Z</dcterms:created>
  <dcterms:modified xsi:type="dcterms:W3CDTF">2025-08-13T16:42:00Z</dcterms:modified>
</cp:coreProperties>
</file>