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CA67C" w14:textId="33308878" w:rsidR="00AD1397" w:rsidRDefault="0049095C" w:rsidP="00257844">
      <w:pPr>
        <w:pStyle w:val="Titre"/>
      </w:pPr>
      <w:r>
        <w:t xml:space="preserve">fracture de la tête radiale chez l’enfant </w:t>
      </w:r>
    </w:p>
    <w:p w14:paraId="5B12BED9" w14:textId="6ACAD2B7" w:rsidR="0049095C" w:rsidRDefault="0049095C" w:rsidP="0049095C">
      <w:pPr>
        <w:pStyle w:val="Titre2"/>
      </w:pPr>
      <w:r>
        <w:t>Généralités</w:t>
      </w:r>
    </w:p>
    <w:p w14:paraId="3E1E627B" w14:textId="70FEC11F" w:rsidR="0049095C" w:rsidRDefault="0049095C" w:rsidP="0049095C">
      <w:r>
        <w:t>Fracture touchant l’extrémité proximale du radius, au niveau de la tête radiale, qui participe à l’articulation du coude radio-humérale et à la pronation/supination de ‘lavant bras</w:t>
      </w:r>
    </w:p>
    <w:p w14:paraId="25C3F2FF" w14:textId="19107964" w:rsidR="0049095C" w:rsidRDefault="0049095C" w:rsidP="0049095C">
      <w:r>
        <w:t>Environ 5% des fractures du coude entre 8 et 12 ans</w:t>
      </w:r>
    </w:p>
    <w:p w14:paraId="2FFF32EC" w14:textId="3A8BD411" w:rsidR="0049095C" w:rsidRDefault="0049095C" w:rsidP="0049095C">
      <w:r>
        <w:t xml:space="preserve">Plus souvent unilatérale et du côté dominant </w:t>
      </w:r>
    </w:p>
    <w:p w14:paraId="5AF27C1E" w14:textId="29B72C59" w:rsidR="0049095C" w:rsidRDefault="0049095C" w:rsidP="001841E5">
      <w:pPr>
        <w:pStyle w:val="Titre3"/>
      </w:pPr>
      <w:r>
        <w:t xml:space="preserve">Pathogénie </w:t>
      </w:r>
    </w:p>
    <w:p w14:paraId="26F6064E" w14:textId="4E2A9122" w:rsidR="0049095C" w:rsidRDefault="0049095C" w:rsidP="0049095C">
      <w:pPr>
        <w:numPr>
          <w:ilvl w:val="1"/>
          <w:numId w:val="1"/>
        </w:numPr>
      </w:pPr>
      <w:r>
        <w:t xml:space="preserve">Chute sur le bras tendu en pronation, le coude légèrement fléchi </w:t>
      </w:r>
      <w:r>
        <w:sym w:font="Wingdings" w:char="F0E0"/>
      </w:r>
      <w:r>
        <w:t xml:space="preserve"> compression de la tête radiale contre le capitulum huméral</w:t>
      </w:r>
    </w:p>
    <w:p w14:paraId="5A76453C" w14:textId="3786EC78" w:rsidR="0049095C" w:rsidRDefault="0049095C" w:rsidP="0049095C">
      <w:pPr>
        <w:numPr>
          <w:ilvl w:val="1"/>
          <w:numId w:val="1"/>
        </w:numPr>
      </w:pPr>
      <w:r>
        <w:t xml:space="preserve">Peut s’accompagner de lésions associées : entorse ou subluxation du coude, luxation du radius </w:t>
      </w:r>
    </w:p>
    <w:p w14:paraId="2F310704" w14:textId="02A986FE" w:rsidR="00834668" w:rsidRDefault="00834668" w:rsidP="001841E5">
      <w:pPr>
        <w:pStyle w:val="Titre3"/>
      </w:pPr>
      <w:r>
        <w:t>Classification (Judet)</w:t>
      </w:r>
    </w:p>
    <w:p w14:paraId="3DA32F4A" w14:textId="352264CB" w:rsidR="00834668" w:rsidRDefault="00834668" w:rsidP="00834668">
      <w:pPr>
        <w:numPr>
          <w:ilvl w:val="1"/>
          <w:numId w:val="1"/>
        </w:numPr>
      </w:pPr>
      <w:r>
        <w:t xml:space="preserve">Type 1 : déplacement &lt; 30° ou &lt; 3mm </w:t>
      </w:r>
      <w:r>
        <w:sym w:font="Wingdings" w:char="F0E0"/>
      </w:r>
      <w:r>
        <w:t xml:space="preserve"> non déplacée ou peu déplacée</w:t>
      </w:r>
    </w:p>
    <w:p w14:paraId="1A9B0772" w14:textId="47157F32" w:rsidR="00834668" w:rsidRDefault="00834668" w:rsidP="00834668">
      <w:pPr>
        <w:numPr>
          <w:ilvl w:val="1"/>
          <w:numId w:val="1"/>
        </w:numPr>
      </w:pPr>
      <w:r>
        <w:t>Type II : 30</w:t>
      </w:r>
      <w:r w:rsidR="001C7FB9">
        <w:t>°</w:t>
      </w:r>
      <w:r>
        <w:t xml:space="preserve"> – 60</w:t>
      </w:r>
      <w:r w:rsidR="001C7FB9">
        <w:t>° ou 3 à 6 mm</w:t>
      </w:r>
    </w:p>
    <w:p w14:paraId="113AD215" w14:textId="3612BADA" w:rsidR="00834668" w:rsidRDefault="00834668" w:rsidP="00834668">
      <w:pPr>
        <w:numPr>
          <w:ilvl w:val="1"/>
          <w:numId w:val="1"/>
        </w:numPr>
      </w:pPr>
      <w:r>
        <w:t>Type III &gt; 60</w:t>
      </w:r>
      <w:r w:rsidR="001C7FB9">
        <w:t>° ou &gt;6 mm</w:t>
      </w:r>
      <w:r>
        <w:t xml:space="preserve"> déplacement important</w:t>
      </w:r>
    </w:p>
    <w:p w14:paraId="716AB5C8" w14:textId="64C4B76B" w:rsidR="00834668" w:rsidRDefault="00834668" w:rsidP="00834668">
      <w:pPr>
        <w:numPr>
          <w:ilvl w:val="1"/>
          <w:numId w:val="1"/>
        </w:numPr>
      </w:pPr>
      <w:r>
        <w:t>Type IV fracture comminutive</w:t>
      </w:r>
    </w:p>
    <w:p w14:paraId="4BB9A23D" w14:textId="3EBDB6FB" w:rsidR="00834668" w:rsidRDefault="00834668" w:rsidP="00834668">
      <w:pPr>
        <w:pStyle w:val="Titre2"/>
      </w:pPr>
      <w:r>
        <w:t>Diagnostic</w:t>
      </w:r>
    </w:p>
    <w:p w14:paraId="5960143D" w14:textId="6E6253B4" w:rsidR="00834668" w:rsidRDefault="00834668" w:rsidP="001841E5">
      <w:pPr>
        <w:pStyle w:val="Titre3"/>
      </w:pPr>
      <w:r>
        <w:t>Clinique</w:t>
      </w:r>
    </w:p>
    <w:p w14:paraId="3C555F51" w14:textId="53F9875A" w:rsidR="00834668" w:rsidRDefault="00834668" w:rsidP="00F20E08">
      <w:pPr>
        <w:numPr>
          <w:ilvl w:val="1"/>
          <w:numId w:val="1"/>
        </w:numPr>
      </w:pPr>
      <w:r>
        <w:t xml:space="preserve">Douleur localisée au </w:t>
      </w:r>
      <w:r w:rsidR="00F20E08">
        <w:t>niveau</w:t>
      </w:r>
      <w:r>
        <w:t xml:space="preserve"> du coude, surtout à la face latérale</w:t>
      </w:r>
    </w:p>
    <w:p w14:paraId="26E83505" w14:textId="3FFF9A94" w:rsidR="00834668" w:rsidRDefault="00834668" w:rsidP="00F20E08">
      <w:pPr>
        <w:numPr>
          <w:ilvl w:val="1"/>
          <w:numId w:val="1"/>
        </w:numPr>
      </w:pPr>
      <w:r>
        <w:t>Limitation de la pronosupination</w:t>
      </w:r>
    </w:p>
    <w:p w14:paraId="01C59DF4" w14:textId="40B84CDB" w:rsidR="00834668" w:rsidRDefault="00F20E08" w:rsidP="00F20E08">
      <w:pPr>
        <w:numPr>
          <w:ilvl w:val="1"/>
          <w:numId w:val="1"/>
        </w:numPr>
      </w:pPr>
      <w:r>
        <w:t>Douleur</w:t>
      </w:r>
      <w:r w:rsidR="00834668">
        <w:t xml:space="preserve"> à la palpation de la tête radiale</w:t>
      </w:r>
    </w:p>
    <w:p w14:paraId="3EACEEA6" w14:textId="4AFAA1A4" w:rsidR="00834668" w:rsidRDefault="00834668" w:rsidP="001841E5">
      <w:pPr>
        <w:pStyle w:val="Titre3"/>
      </w:pPr>
      <w:r>
        <w:t>Radiologique</w:t>
      </w:r>
    </w:p>
    <w:p w14:paraId="306F853D" w14:textId="6F8C964D" w:rsidR="00834668" w:rsidRDefault="00834668" w:rsidP="00834668">
      <w:pPr>
        <w:numPr>
          <w:ilvl w:val="1"/>
          <w:numId w:val="1"/>
        </w:numPr>
      </w:pPr>
      <w:r>
        <w:t>Radiographies du coude : face, profil obliques si besoin</w:t>
      </w:r>
    </w:p>
    <w:p w14:paraId="5D6F07FF" w14:textId="3AF48187" w:rsidR="00834668" w:rsidRDefault="00834668" w:rsidP="00834668">
      <w:pPr>
        <w:numPr>
          <w:ilvl w:val="1"/>
          <w:numId w:val="1"/>
        </w:numPr>
      </w:pPr>
      <w:r>
        <w:t xml:space="preserve">Ligne de </w:t>
      </w:r>
      <w:proofErr w:type="spellStart"/>
      <w:r>
        <w:t>Soren</w:t>
      </w:r>
      <w:proofErr w:type="spellEnd"/>
      <w:r>
        <w:t xml:space="preserve"> </w:t>
      </w:r>
    </w:p>
    <w:p w14:paraId="480D9E13" w14:textId="239D24F5" w:rsidR="00834668" w:rsidRDefault="00834668" w:rsidP="00834668">
      <w:pPr>
        <w:numPr>
          <w:ilvl w:val="1"/>
          <w:numId w:val="1"/>
        </w:numPr>
      </w:pPr>
      <w:r>
        <w:t>Si doute : échographie ou IRM (surtout si le cartilage n’est pas ossifié</w:t>
      </w:r>
    </w:p>
    <w:p w14:paraId="6B0540E9" w14:textId="0AF3131D" w:rsidR="00F20E08" w:rsidRDefault="00F20E08" w:rsidP="00F20E08">
      <w:pPr>
        <w:pStyle w:val="Titre2"/>
      </w:pPr>
      <w:r>
        <w:lastRenderedPageBreak/>
        <w:t>Traitement</w:t>
      </w:r>
    </w:p>
    <w:p w14:paraId="4E9A0571" w14:textId="1929E25D" w:rsidR="00F20E08" w:rsidRDefault="00F20E08" w:rsidP="009943B3">
      <w:pPr>
        <w:pStyle w:val="Titre3"/>
      </w:pPr>
      <w:r>
        <w:t>Type I (non déplacé ou peu déplacée)</w:t>
      </w:r>
    </w:p>
    <w:p w14:paraId="0B5BFF4C" w14:textId="61D3E5F5" w:rsidR="00F20E08" w:rsidRDefault="00F20E08" w:rsidP="00F20E08">
      <w:pPr>
        <w:numPr>
          <w:ilvl w:val="1"/>
          <w:numId w:val="1"/>
        </w:numPr>
      </w:pPr>
      <w:r>
        <w:t>T3 conservateur : immobilisation en écharpe ou attelle (2 – 3 semaines)</w:t>
      </w:r>
    </w:p>
    <w:p w14:paraId="537D0F11" w14:textId="409063C1" w:rsidR="00F20E08" w:rsidRDefault="00F20E08" w:rsidP="00F20E08">
      <w:pPr>
        <w:numPr>
          <w:ilvl w:val="1"/>
          <w:numId w:val="1"/>
        </w:numPr>
      </w:pPr>
      <w:r>
        <w:t>Rééducation douce en flexion extension et pronation supination</w:t>
      </w:r>
    </w:p>
    <w:p w14:paraId="7051D76D" w14:textId="5C92FCF3" w:rsidR="00F20E08" w:rsidRDefault="00F20E08" w:rsidP="009943B3">
      <w:pPr>
        <w:pStyle w:val="Titre3"/>
      </w:pPr>
      <w:r>
        <w:t>Types II à IV</w:t>
      </w:r>
    </w:p>
    <w:p w14:paraId="1BD91BFC" w14:textId="703598A2" w:rsidR="00F20E08" w:rsidRDefault="00F20E08" w:rsidP="00F20E08">
      <w:pPr>
        <w:numPr>
          <w:ilvl w:val="1"/>
          <w:numId w:val="1"/>
        </w:numPr>
      </w:pPr>
      <w:r>
        <w:t>Réduction orthopédique sous anesthésie</w:t>
      </w:r>
    </w:p>
    <w:p w14:paraId="492C91D4" w14:textId="64861DA8" w:rsidR="00F20E08" w:rsidRDefault="00F20E08" w:rsidP="00F20E08">
      <w:pPr>
        <w:numPr>
          <w:ilvl w:val="1"/>
          <w:numId w:val="1"/>
        </w:numPr>
      </w:pPr>
      <w:r>
        <w:t xml:space="preserve">Si échec ou déplacement important : </w:t>
      </w:r>
    </w:p>
    <w:p w14:paraId="7B84B586" w14:textId="40FAD102" w:rsidR="00F20E08" w:rsidRDefault="00F20E08" w:rsidP="00F20E08">
      <w:pPr>
        <w:numPr>
          <w:ilvl w:val="2"/>
          <w:numId w:val="1"/>
        </w:numPr>
      </w:pPr>
      <w:r>
        <w:t>Réduction chirurgicale + brochage en technique mini invasive</w:t>
      </w:r>
    </w:p>
    <w:p w14:paraId="006FAE62" w14:textId="35B6242C" w:rsidR="00F20E08" w:rsidRDefault="00F20E08" w:rsidP="00F20E08">
      <w:pPr>
        <w:numPr>
          <w:ilvl w:val="2"/>
          <w:numId w:val="1"/>
        </w:numPr>
      </w:pPr>
      <w:r>
        <w:t>Eviter la résection de la tête radiale chez l’enfant !</w:t>
      </w:r>
    </w:p>
    <w:p w14:paraId="3741BC04" w14:textId="4EA4FDCC" w:rsidR="00F20E08" w:rsidRDefault="001C7FB9" w:rsidP="009943B3">
      <w:pPr>
        <w:pStyle w:val="Titre3"/>
      </w:pPr>
      <w:r>
        <w:t xml:space="preserve">Indications après réduction à foyer fermé </w:t>
      </w:r>
    </w:p>
    <w:p w14:paraId="4FFE2C39" w14:textId="4C3087F0" w:rsidR="001C7FB9" w:rsidRDefault="001C7FB9" w:rsidP="001C7FB9">
      <w:pPr>
        <w:numPr>
          <w:ilvl w:val="1"/>
          <w:numId w:val="1"/>
        </w:numPr>
      </w:pPr>
      <w:r>
        <w:t>&lt; 20° : plâtre</w:t>
      </w:r>
    </w:p>
    <w:p w14:paraId="19CE47A2" w14:textId="1F15E4A9" w:rsidR="001C7FB9" w:rsidRDefault="001C7FB9" w:rsidP="001C7FB9">
      <w:pPr>
        <w:numPr>
          <w:ilvl w:val="1"/>
          <w:numId w:val="1"/>
        </w:numPr>
      </w:pPr>
      <w:r>
        <w:t xml:space="preserve">&gt; 20° : ECMES </w:t>
      </w:r>
    </w:p>
    <w:p w14:paraId="0C046519" w14:textId="0EFEC7C8" w:rsidR="003C7B91" w:rsidRDefault="003C7B91" w:rsidP="009943B3">
      <w:pPr>
        <w:pStyle w:val="Titre3"/>
      </w:pPr>
      <w:r>
        <w:t xml:space="preserve">Complications </w:t>
      </w:r>
    </w:p>
    <w:p w14:paraId="26A829AE" w14:textId="543147A5" w:rsidR="003C7B91" w:rsidRDefault="003C7B91" w:rsidP="003C7B91">
      <w:pPr>
        <w:numPr>
          <w:ilvl w:val="1"/>
          <w:numId w:val="1"/>
        </w:numPr>
      </w:pPr>
      <w:r>
        <w:t>Raideu</w:t>
      </w:r>
      <w:r w:rsidR="004E4ABC">
        <w:t>r</w:t>
      </w:r>
      <w:r>
        <w:t xml:space="preserve"> articul</w:t>
      </w:r>
      <w:r w:rsidR="004E4ABC">
        <w:t>a</w:t>
      </w:r>
      <w:r>
        <w:t>ire</w:t>
      </w:r>
    </w:p>
    <w:p w14:paraId="6DE68324" w14:textId="47938486" w:rsidR="003C7B91" w:rsidRDefault="003C7B91" w:rsidP="003C7B91">
      <w:pPr>
        <w:numPr>
          <w:ilvl w:val="1"/>
          <w:numId w:val="1"/>
        </w:numPr>
      </w:pPr>
      <w:r>
        <w:t>Nécrose de la tête radiale</w:t>
      </w:r>
    </w:p>
    <w:p w14:paraId="6F9826A9" w14:textId="13AE9591" w:rsidR="003C7B91" w:rsidRDefault="003C7B91" w:rsidP="003C7B91">
      <w:pPr>
        <w:numPr>
          <w:ilvl w:val="1"/>
          <w:numId w:val="1"/>
        </w:numPr>
      </w:pPr>
      <w:r>
        <w:t>Synostose radio-ulnaire proximale (fusion osseuse entre U et R)</w:t>
      </w:r>
    </w:p>
    <w:p w14:paraId="41C91982" w14:textId="3A2AB6AB" w:rsidR="003C7B91" w:rsidRDefault="003C7B91" w:rsidP="003C7B91">
      <w:pPr>
        <w:numPr>
          <w:ilvl w:val="1"/>
          <w:numId w:val="1"/>
        </w:numPr>
      </w:pPr>
      <w:r>
        <w:t xml:space="preserve">Retard e croissance avec déformation secondaire </w:t>
      </w:r>
    </w:p>
    <w:p w14:paraId="15D73E86" w14:textId="7A93F49C" w:rsidR="003C7B91" w:rsidRDefault="003C7B91" w:rsidP="009943B3">
      <w:pPr>
        <w:pStyle w:val="Titre3"/>
      </w:pPr>
      <w:r>
        <w:t>Pronostic</w:t>
      </w:r>
    </w:p>
    <w:p w14:paraId="20CC9D4C" w14:textId="2D4BE24B" w:rsidR="003C7B91" w:rsidRDefault="003C7B91" w:rsidP="003C7B91">
      <w:pPr>
        <w:numPr>
          <w:ilvl w:val="1"/>
          <w:numId w:val="1"/>
        </w:numPr>
      </w:pPr>
      <w:r>
        <w:t>Bon si bonne réduction et surveillée</w:t>
      </w:r>
    </w:p>
    <w:p w14:paraId="3675DB08" w14:textId="56B890C1" w:rsidR="003C7B91" w:rsidRDefault="003C7B91" w:rsidP="003C7B91">
      <w:pPr>
        <w:numPr>
          <w:ilvl w:val="1"/>
          <w:numId w:val="1"/>
        </w:numPr>
      </w:pPr>
      <w:r>
        <w:t xml:space="preserve">Attention à la mobilité : la limitation de la </w:t>
      </w:r>
      <w:proofErr w:type="spellStart"/>
      <w:r>
        <w:t>prono-supination</w:t>
      </w:r>
      <w:proofErr w:type="spellEnd"/>
      <w:r>
        <w:t xml:space="preserve"> est la complication fonctionnelle principale </w:t>
      </w:r>
    </w:p>
    <w:p w14:paraId="758A749E" w14:textId="72623AED" w:rsidR="004E4ABC" w:rsidRDefault="004E4ABC" w:rsidP="004E4ABC">
      <w:pPr>
        <w:pStyle w:val="Titre2"/>
      </w:pPr>
      <w:r>
        <w:t>Conclusion</w:t>
      </w:r>
    </w:p>
    <w:p w14:paraId="0DBB380F" w14:textId="2BCF3344" w:rsidR="004E4ABC" w:rsidRDefault="004E4ABC" w:rsidP="004E4ABC">
      <w:r>
        <w:t>Fracture rare mais importante car proche du cartilage de croissance et de l‘articulation du coude</w:t>
      </w:r>
    </w:p>
    <w:p w14:paraId="70B66D91" w14:textId="5D92E20D" w:rsidR="004E4ABC" w:rsidRDefault="004E4ABC" w:rsidP="004E4ABC">
      <w:r>
        <w:t>T3 dépend du degré de déplacement</w:t>
      </w:r>
    </w:p>
    <w:p w14:paraId="3622175D" w14:textId="2DBA5FD7" w:rsidR="004E4ABC" w:rsidRDefault="004E4ABC" w:rsidP="004E4ABC">
      <w:r>
        <w:t xml:space="preserve">Surveillance post-thérapeutique : raideur et nécrose </w:t>
      </w:r>
    </w:p>
    <w:p w14:paraId="0F7A01FF" w14:textId="36D75663" w:rsidR="00D32425" w:rsidRPr="00D32425" w:rsidRDefault="00D32425" w:rsidP="005D75AD">
      <w:pPr>
        <w:numPr>
          <w:ilvl w:val="0"/>
          <w:numId w:val="0"/>
        </w:numPr>
        <w:spacing w:line="259" w:lineRule="auto"/>
      </w:pPr>
      <w:r>
        <w:t xml:space="preserve"> </w:t>
      </w:r>
    </w:p>
    <w:sectPr w:rsidR="00D32425" w:rsidRPr="00D3242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B848E" w14:textId="77777777" w:rsidR="008278A0" w:rsidRDefault="008278A0">
      <w:pPr>
        <w:spacing w:after="0" w:line="240" w:lineRule="auto"/>
      </w:pPr>
      <w:r>
        <w:separator/>
      </w:r>
    </w:p>
  </w:endnote>
  <w:endnote w:type="continuationSeparator" w:id="0">
    <w:p w14:paraId="712F2281" w14:textId="77777777" w:rsidR="008278A0" w:rsidRDefault="00827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939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00373" wp14:editId="514130D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A73D4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00373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CFA73D4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3BE77" w14:textId="77777777" w:rsidR="008278A0" w:rsidRDefault="008278A0">
      <w:pPr>
        <w:spacing w:after="0" w:line="240" w:lineRule="auto"/>
      </w:pPr>
      <w:r>
        <w:separator/>
      </w:r>
    </w:p>
  </w:footnote>
  <w:footnote w:type="continuationSeparator" w:id="0">
    <w:p w14:paraId="186BED3C" w14:textId="77777777" w:rsidR="008278A0" w:rsidRDefault="00827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7C0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B95"/>
    <w:rsid w:val="00006CA1"/>
    <w:rsid w:val="00007636"/>
    <w:rsid w:val="00023FCC"/>
    <w:rsid w:val="00025671"/>
    <w:rsid w:val="00025775"/>
    <w:rsid w:val="00040639"/>
    <w:rsid w:val="00045C8C"/>
    <w:rsid w:val="000577B7"/>
    <w:rsid w:val="000839D1"/>
    <w:rsid w:val="000B142F"/>
    <w:rsid w:val="000C18E3"/>
    <w:rsid w:val="000C3810"/>
    <w:rsid w:val="000E1AB3"/>
    <w:rsid w:val="000F03E2"/>
    <w:rsid w:val="00106B3E"/>
    <w:rsid w:val="00125DCF"/>
    <w:rsid w:val="0013265D"/>
    <w:rsid w:val="00155066"/>
    <w:rsid w:val="0016609C"/>
    <w:rsid w:val="00170180"/>
    <w:rsid w:val="00170300"/>
    <w:rsid w:val="00172EB9"/>
    <w:rsid w:val="00175FD6"/>
    <w:rsid w:val="001841E5"/>
    <w:rsid w:val="00186038"/>
    <w:rsid w:val="00190AE7"/>
    <w:rsid w:val="00192793"/>
    <w:rsid w:val="001B0088"/>
    <w:rsid w:val="001C7FB9"/>
    <w:rsid w:val="001E15B8"/>
    <w:rsid w:val="0020555D"/>
    <w:rsid w:val="00227C5D"/>
    <w:rsid w:val="002305B6"/>
    <w:rsid w:val="0023251B"/>
    <w:rsid w:val="00235D57"/>
    <w:rsid w:val="0024287D"/>
    <w:rsid w:val="00251A9D"/>
    <w:rsid w:val="00255F4B"/>
    <w:rsid w:val="00257844"/>
    <w:rsid w:val="00272880"/>
    <w:rsid w:val="00277643"/>
    <w:rsid w:val="00290AB2"/>
    <w:rsid w:val="00294006"/>
    <w:rsid w:val="002A0CDA"/>
    <w:rsid w:val="002A35FB"/>
    <w:rsid w:val="002A4D13"/>
    <w:rsid w:val="002D2C7A"/>
    <w:rsid w:val="002D5F9D"/>
    <w:rsid w:val="002E34FA"/>
    <w:rsid w:val="00301A6D"/>
    <w:rsid w:val="00345B3D"/>
    <w:rsid w:val="00352476"/>
    <w:rsid w:val="00353156"/>
    <w:rsid w:val="00363D18"/>
    <w:rsid w:val="00387DD9"/>
    <w:rsid w:val="003908F2"/>
    <w:rsid w:val="00395CDE"/>
    <w:rsid w:val="003A1EF1"/>
    <w:rsid w:val="003C7B91"/>
    <w:rsid w:val="003E7309"/>
    <w:rsid w:val="003F74A0"/>
    <w:rsid w:val="00405D5D"/>
    <w:rsid w:val="00412C77"/>
    <w:rsid w:val="0043107A"/>
    <w:rsid w:val="004637DE"/>
    <w:rsid w:val="00465782"/>
    <w:rsid w:val="004841DC"/>
    <w:rsid w:val="0049095C"/>
    <w:rsid w:val="00491188"/>
    <w:rsid w:val="004A7806"/>
    <w:rsid w:val="004B468D"/>
    <w:rsid w:val="004C4054"/>
    <w:rsid w:val="004C734A"/>
    <w:rsid w:val="004C7A81"/>
    <w:rsid w:val="004D1501"/>
    <w:rsid w:val="004D2C62"/>
    <w:rsid w:val="004D69C0"/>
    <w:rsid w:val="004E1EEC"/>
    <w:rsid w:val="004E47C1"/>
    <w:rsid w:val="004E4ABC"/>
    <w:rsid w:val="004F65BC"/>
    <w:rsid w:val="0050532B"/>
    <w:rsid w:val="00511BE8"/>
    <w:rsid w:val="005160C8"/>
    <w:rsid w:val="0052014C"/>
    <w:rsid w:val="00534712"/>
    <w:rsid w:val="00534B0D"/>
    <w:rsid w:val="00551E69"/>
    <w:rsid w:val="00556B21"/>
    <w:rsid w:val="005877C2"/>
    <w:rsid w:val="005A26D4"/>
    <w:rsid w:val="005B56BB"/>
    <w:rsid w:val="005D19AA"/>
    <w:rsid w:val="005D5A6B"/>
    <w:rsid w:val="005D75AD"/>
    <w:rsid w:val="005E02F5"/>
    <w:rsid w:val="005E042F"/>
    <w:rsid w:val="005E5D3B"/>
    <w:rsid w:val="00601BAD"/>
    <w:rsid w:val="00603C4A"/>
    <w:rsid w:val="00611955"/>
    <w:rsid w:val="00611EE2"/>
    <w:rsid w:val="00616221"/>
    <w:rsid w:val="00625764"/>
    <w:rsid w:val="00626558"/>
    <w:rsid w:val="006333A8"/>
    <w:rsid w:val="00646B85"/>
    <w:rsid w:val="006518E5"/>
    <w:rsid w:val="00651D39"/>
    <w:rsid w:val="00653AE6"/>
    <w:rsid w:val="00667004"/>
    <w:rsid w:val="006711A1"/>
    <w:rsid w:val="006B2B23"/>
    <w:rsid w:val="006C0678"/>
    <w:rsid w:val="006F6D01"/>
    <w:rsid w:val="007152D3"/>
    <w:rsid w:val="00747F42"/>
    <w:rsid w:val="007B17F8"/>
    <w:rsid w:val="007B3740"/>
    <w:rsid w:val="007D1A24"/>
    <w:rsid w:val="007E53A2"/>
    <w:rsid w:val="007E7EE6"/>
    <w:rsid w:val="00802574"/>
    <w:rsid w:val="008216C5"/>
    <w:rsid w:val="008241B5"/>
    <w:rsid w:val="008278A0"/>
    <w:rsid w:val="00832DEF"/>
    <w:rsid w:val="00834668"/>
    <w:rsid w:val="008359B1"/>
    <w:rsid w:val="00836347"/>
    <w:rsid w:val="00842F6F"/>
    <w:rsid w:val="0084768E"/>
    <w:rsid w:val="00847F22"/>
    <w:rsid w:val="00867CFE"/>
    <w:rsid w:val="008747E9"/>
    <w:rsid w:val="00886722"/>
    <w:rsid w:val="008924A7"/>
    <w:rsid w:val="00894CD7"/>
    <w:rsid w:val="00895F9D"/>
    <w:rsid w:val="008A7CD5"/>
    <w:rsid w:val="008D5C3B"/>
    <w:rsid w:val="008F23F7"/>
    <w:rsid w:val="009113B6"/>
    <w:rsid w:val="00912E0F"/>
    <w:rsid w:val="009223B6"/>
    <w:rsid w:val="00926F4D"/>
    <w:rsid w:val="009453A0"/>
    <w:rsid w:val="00952CC7"/>
    <w:rsid w:val="009538A6"/>
    <w:rsid w:val="00985331"/>
    <w:rsid w:val="009943B3"/>
    <w:rsid w:val="0099725B"/>
    <w:rsid w:val="009A5D67"/>
    <w:rsid w:val="009C4CFE"/>
    <w:rsid w:val="009D2B54"/>
    <w:rsid w:val="009D2DE3"/>
    <w:rsid w:val="009F0212"/>
    <w:rsid w:val="009F2B28"/>
    <w:rsid w:val="00A005DB"/>
    <w:rsid w:val="00A07549"/>
    <w:rsid w:val="00A105E5"/>
    <w:rsid w:val="00A14614"/>
    <w:rsid w:val="00A27504"/>
    <w:rsid w:val="00A30FB2"/>
    <w:rsid w:val="00A35A5B"/>
    <w:rsid w:val="00A51764"/>
    <w:rsid w:val="00A555FC"/>
    <w:rsid w:val="00A627B6"/>
    <w:rsid w:val="00A829C1"/>
    <w:rsid w:val="00A90F20"/>
    <w:rsid w:val="00AB3C1C"/>
    <w:rsid w:val="00AB734D"/>
    <w:rsid w:val="00AC07A9"/>
    <w:rsid w:val="00AD1397"/>
    <w:rsid w:val="00AF2BCB"/>
    <w:rsid w:val="00B15D2F"/>
    <w:rsid w:val="00B46A82"/>
    <w:rsid w:val="00B47061"/>
    <w:rsid w:val="00B4771B"/>
    <w:rsid w:val="00B512F8"/>
    <w:rsid w:val="00B56793"/>
    <w:rsid w:val="00B609B1"/>
    <w:rsid w:val="00B77330"/>
    <w:rsid w:val="00B81D9E"/>
    <w:rsid w:val="00B844D9"/>
    <w:rsid w:val="00BC0D1B"/>
    <w:rsid w:val="00BE0B28"/>
    <w:rsid w:val="00BE422D"/>
    <w:rsid w:val="00BE5B9A"/>
    <w:rsid w:val="00BF275B"/>
    <w:rsid w:val="00BF7B20"/>
    <w:rsid w:val="00C03322"/>
    <w:rsid w:val="00C04678"/>
    <w:rsid w:val="00C22B76"/>
    <w:rsid w:val="00C37F15"/>
    <w:rsid w:val="00C431CD"/>
    <w:rsid w:val="00C5092F"/>
    <w:rsid w:val="00C51F0E"/>
    <w:rsid w:val="00C737BD"/>
    <w:rsid w:val="00C77BAC"/>
    <w:rsid w:val="00C8175B"/>
    <w:rsid w:val="00C94E73"/>
    <w:rsid w:val="00C955DF"/>
    <w:rsid w:val="00C96373"/>
    <w:rsid w:val="00CC0847"/>
    <w:rsid w:val="00CC6098"/>
    <w:rsid w:val="00CD536E"/>
    <w:rsid w:val="00CE1D88"/>
    <w:rsid w:val="00CF5D83"/>
    <w:rsid w:val="00CF748E"/>
    <w:rsid w:val="00D27892"/>
    <w:rsid w:val="00D27D71"/>
    <w:rsid w:val="00D32425"/>
    <w:rsid w:val="00D421DA"/>
    <w:rsid w:val="00D46804"/>
    <w:rsid w:val="00D67214"/>
    <w:rsid w:val="00DA014E"/>
    <w:rsid w:val="00DC44EE"/>
    <w:rsid w:val="00DF6D11"/>
    <w:rsid w:val="00E2661B"/>
    <w:rsid w:val="00E35A14"/>
    <w:rsid w:val="00E531A8"/>
    <w:rsid w:val="00E5452B"/>
    <w:rsid w:val="00E551A4"/>
    <w:rsid w:val="00E63496"/>
    <w:rsid w:val="00E729AE"/>
    <w:rsid w:val="00E8525B"/>
    <w:rsid w:val="00EC14DF"/>
    <w:rsid w:val="00EC1545"/>
    <w:rsid w:val="00ED19C1"/>
    <w:rsid w:val="00EF2DF5"/>
    <w:rsid w:val="00EF7C1E"/>
    <w:rsid w:val="00F019BB"/>
    <w:rsid w:val="00F11099"/>
    <w:rsid w:val="00F20E08"/>
    <w:rsid w:val="00F24C34"/>
    <w:rsid w:val="00F24E79"/>
    <w:rsid w:val="00F41C79"/>
    <w:rsid w:val="00F60B0A"/>
    <w:rsid w:val="00F716FD"/>
    <w:rsid w:val="00F7447B"/>
    <w:rsid w:val="00F7700B"/>
    <w:rsid w:val="00F80B46"/>
    <w:rsid w:val="00F81443"/>
    <w:rsid w:val="00F9054D"/>
    <w:rsid w:val="00F91CB5"/>
    <w:rsid w:val="00FA1B56"/>
    <w:rsid w:val="00FC099A"/>
    <w:rsid w:val="00FD7A1C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EE0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164</cp:revision>
  <dcterms:created xsi:type="dcterms:W3CDTF">2023-01-26T04:37:00Z</dcterms:created>
  <dcterms:modified xsi:type="dcterms:W3CDTF">2025-08-13T18:01:00Z</dcterms:modified>
</cp:coreProperties>
</file>