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Tuberculose multi-résistante (TB-MR)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 xml:space="preserve">Définition </w:t>
      </w:r>
    </w:p>
    <w:p>
      <w:pPr/>
      <w:r>
        <w:rPr/>
        <w:t xml:space="preserve">Résistance bacille tuberculeux à la Rifampicine et à H </w:t>
      </w:r>
      <w:r>
        <w:rPr/>
        <w:t>avec ou</w:t>
      </w:r>
      <w:r>
        <w:rPr/>
        <w:t xml:space="preserve"> sans </w:t>
      </w:r>
      <w:r>
        <w:rPr/>
        <w:t>résistance</w:t>
      </w:r>
      <w:r>
        <w:rPr/>
        <w:t xml:space="preserve"> à d’autres </w:t>
      </w:r>
      <w:r>
        <w:rPr/>
        <w:t>antituberculeux</w:t>
      </w:r>
    </w:p>
    <w:p>
      <w:pPr/>
      <w:r>
        <w:rPr/>
        <w:t>Intérêts</w:t>
      </w:r>
    </w:p>
    <w:p>
      <w:pPr/>
      <w:r>
        <w:rPr/>
        <w:t xml:space="preserve">Menace </w:t>
      </w:r>
      <w:r>
        <w:rPr/>
        <w:t>épidémiologique et</w:t>
      </w:r>
      <w:r>
        <w:rPr/>
        <w:t xml:space="preserve"> charge économique +++ pour le pays touché</w:t>
      </w:r>
    </w:p>
    <w:p>
      <w:pPr>
        <w:pStyle w:val="Heading2"/>
      </w:pPr>
      <w:r>
        <w:rPr/>
        <w:t>Mécanisme de développement de la résistance</w:t>
      </w:r>
    </w:p>
    <w:p>
      <w:pPr/>
      <w:r>
        <w:rPr/>
        <w:t>Multi résistance</w:t>
      </w:r>
      <w:r>
        <w:rPr/>
        <w:t xml:space="preserve"> MR </w:t>
      </w:r>
      <w:r>
        <w:rPr/>
      </w:r>
      <w:r>
        <w:rPr/>
        <w:t xml:space="preserve"> 2 mutations successive d’une mycobactérie </w:t>
      </w:r>
      <w:r>
        <w:rPr/>
      </w:r>
      <w:r>
        <w:rPr/>
        <w:t xml:space="preserve">  résistance successive à l’isoniazide et à la rifampicine</w:t>
      </w:r>
    </w:p>
    <w:p>
      <w:pPr/>
      <w:r>
        <w:rPr/>
        <w:t xml:space="preserve">Résistance a sein de la population bacillaire </w:t>
      </w:r>
      <w:r>
        <w:rPr/>
      </w:r>
      <w:r>
        <w:rPr/>
        <w:t xml:space="preserve"> 2 phénomènes</w:t>
      </w:r>
    </w:p>
    <w:p>
      <w:pPr/>
      <w:r>
        <w:rPr/>
        <w:t xml:space="preserve">Apparition de la mutation spontanée dans </w:t>
      </w:r>
      <w:r>
        <w:rPr/>
        <w:t>les chromosomes</w:t>
      </w:r>
      <w:r>
        <w:rPr/>
        <w:t xml:space="preserve"> de MT </w:t>
      </w:r>
    </w:p>
    <w:p>
      <w:pPr/>
      <w:r>
        <w:rPr/>
        <w:t>Sélection mutante</w:t>
      </w:r>
      <w:r>
        <w:rPr/>
        <w:t xml:space="preserve"> par une chimiothérapie inadéquate (monothérapie volontaire ou involontaire)</w:t>
      </w:r>
    </w:p>
    <w:p>
      <w:pPr/>
      <w:r>
        <w:rPr/>
        <w:t xml:space="preserve">Sélection mutants </w:t>
      </w:r>
      <w:r>
        <w:rPr/>
      </w:r>
      <w:r>
        <w:rPr/>
        <w:t xml:space="preserve"> phénomène du « </w:t>
      </w:r>
      <w:r>
        <w:rPr/>
        <w:t>fall</w:t>
      </w:r>
      <w:r>
        <w:rPr/>
        <w:t xml:space="preserve"> and </w:t>
      </w:r>
      <w:r>
        <w:rPr/>
        <w:t>rise</w:t>
      </w:r>
      <w:r>
        <w:rPr/>
        <w:t xml:space="preserve"> » : diminution initiale concentration bacillaire des sensible suive </w:t>
      </w:r>
      <w:r>
        <w:rPr/>
        <w:t xml:space="preserve">ré </w:t>
      </w:r>
      <w:r>
        <w:rPr/>
        <w:t>augmentation</w:t>
      </w:r>
      <w:r>
        <w:rPr/>
        <w:t xml:space="preserve">  des</w:t>
      </w:r>
      <w:r>
        <w:rPr/>
        <w:t xml:space="preserve"> bacilles résistants</w:t>
      </w:r>
    </w:p>
    <w:p>
      <w:pPr>
        <w:pStyle w:val="Heading3"/>
      </w:pPr>
      <w:r>
        <w:rPr/>
        <w:t>Résistance primai</w:t>
      </w:r>
      <w:r>
        <w:rPr/>
        <w:t>r</w:t>
      </w:r>
      <w:r>
        <w:rPr/>
        <w:t>e</w:t>
      </w:r>
      <w:r>
        <w:rPr/>
        <w:t xml:space="preserve"> </w:t>
      </w:r>
    </w:p>
    <w:p>
      <w:pPr/>
      <w:r>
        <w:rPr/>
        <w:t>Première</w:t>
      </w:r>
      <w:r>
        <w:rPr/>
        <w:t xml:space="preserve"> épisode de la tuberculose </w:t>
      </w:r>
      <w:r>
        <w:rPr/>
      </w:r>
      <w:r>
        <w:rPr/>
        <w:t xml:space="preserve"> contamination par </w:t>
      </w:r>
      <w:r>
        <w:rPr/>
        <w:t>une</w:t>
      </w:r>
      <w:r>
        <w:rPr/>
        <w:t xml:space="preserve"> mal</w:t>
      </w:r>
      <w:r>
        <w:rPr/>
        <w:t>a</w:t>
      </w:r>
      <w:r>
        <w:rPr/>
        <w:t xml:space="preserve">de </w:t>
      </w:r>
      <w:r>
        <w:rPr/>
        <w:t>atteint</w:t>
      </w:r>
      <w:r>
        <w:rPr/>
        <w:t xml:space="preserve"> de TB-MR (jamais traités)</w:t>
      </w:r>
    </w:p>
    <w:p>
      <w:pPr>
        <w:pStyle w:val="Heading3"/>
      </w:pPr>
      <w:r>
        <w:rPr/>
        <w:t>Résistance secondaire</w:t>
      </w:r>
    </w:p>
    <w:p>
      <w:pPr/>
      <w:r>
        <w:rPr/>
        <w:t xml:space="preserve">Mycobactéries initialement sensibles </w:t>
      </w:r>
      <w:r>
        <w:rPr/>
      </w:r>
      <w:r>
        <w:rPr/>
        <w:t xml:space="preserve"> mutations en cours de traitement des germes (déjà traité antérieurement)</w:t>
      </w:r>
    </w:p>
    <w:p>
      <w:pPr/>
      <w:r>
        <w:rPr/>
        <w:t xml:space="preserve">En pratique, </w:t>
      </w:r>
      <w:r>
        <w:rPr/>
        <w:t>distinction</w:t>
      </w:r>
      <w:r>
        <w:rPr/>
        <w:t xml:space="preserve"> +/- car traitement </w:t>
      </w:r>
      <w:r>
        <w:rPr/>
        <w:t>préalable pas</w:t>
      </w:r>
      <w:r>
        <w:rPr/>
        <w:t xml:space="preserve"> toujours objectivé</w:t>
      </w:r>
    </w:p>
    <w:p>
      <w:pPr>
        <w:pStyle w:val="Heading4"/>
      </w:pPr>
      <w:r>
        <w:rPr/>
        <w:t>Problème universel</w:t>
      </w:r>
    </w:p>
    <w:p>
      <w:pPr/>
      <w:r>
        <w:rPr/>
        <w:t>2023, OMS : environ 400000 TB-MR / RR</w:t>
      </w:r>
    </w:p>
    <w:p>
      <w:pPr/>
      <w:r>
        <w:rPr/>
        <w:t xml:space="preserve">Inde, </w:t>
      </w:r>
      <w:r>
        <w:rPr/>
        <w:t>Russie, Indonésie</w:t>
      </w:r>
      <w:r>
        <w:rPr/>
        <w:t xml:space="preserve">, Chine, </w:t>
      </w:r>
      <w:r>
        <w:rPr/>
        <w:t>Philippine</w:t>
      </w:r>
      <w:r>
        <w:rPr/>
        <w:t xml:space="preserve"> +++</w:t>
      </w:r>
    </w:p>
    <w:p>
      <w:pPr/>
      <w:r>
        <w:rPr/>
        <w:t xml:space="preserve">Madagascar </w:t>
      </w:r>
    </w:p>
    <w:p>
      <w:pPr/>
      <w:r>
        <w:rPr/>
        <w:t xml:space="preserve">2005 – 206 : </w:t>
      </w:r>
      <w:r>
        <w:rPr/>
        <w:t>résistance primaire</w:t>
      </w:r>
      <w:r>
        <w:rPr/>
        <w:t xml:space="preserve"> 0.2%, secondaire 34%</w:t>
      </w:r>
    </w:p>
    <w:p>
      <w:pPr/>
      <w:r>
        <w:rPr/>
        <w:t>20… - 2023 : résistance primaire : 0.2%, secondaire : 3.33%</w:t>
      </w:r>
    </w:p>
    <w:p>
      <w:pPr>
        <w:pStyle w:val="Heading4"/>
      </w:pPr>
      <w:r>
        <w:rPr/>
        <w:t>Traitement TB-MR = out 2012</w:t>
      </w:r>
    </w:p>
    <w:p>
      <w:pPr/>
      <w:r>
        <w:rPr/>
        <w:t xml:space="preserve">Nombre de cas </w:t>
      </w:r>
      <w:r>
        <w:rPr/>
        <w:t>dépistés</w:t>
      </w:r>
      <w:r>
        <w:rPr/>
        <w:t xml:space="preserve"> de 2012 – 2024 : 753</w:t>
      </w:r>
    </w:p>
    <w:p>
      <w:pPr/>
      <w:r>
        <w:rPr/>
        <w:t>Nombre de patient mis sous traitement de 20212- 2024 : 552</w:t>
      </w:r>
    </w:p>
    <w:p>
      <w:pPr/>
      <w:r>
        <w:rPr/>
        <w:t>CRPC (centre de référence de prise en charge) fonctionnels de PEC</w:t>
      </w:r>
    </w:p>
    <w:p>
      <w:pPr>
        <w:pStyle w:val="Heading3"/>
      </w:pPr>
      <w:r>
        <w:rPr/>
        <w:t>Termes essentiels</w:t>
      </w:r>
    </w:p>
    <w:p>
      <w:pPr/>
      <w:r>
        <w:rPr>
          <w:b/>
        </w:rPr>
        <w:t xml:space="preserve">Souches sensibles : </w:t>
      </w:r>
      <w:r>
        <w:rPr/>
        <w:t xml:space="preserve">souches de Mt qui répondent aux antituberculeux </w:t>
      </w:r>
    </w:p>
    <w:p>
      <w:pPr/>
      <w:r>
        <w:rPr>
          <w:b/>
        </w:rPr>
        <w:t>Souches résistantes :</w:t>
      </w:r>
      <w:r>
        <w:rPr/>
        <w:t xml:space="preserve"> souches de Mt capables de croitre en présence de concentration in vitro d’antituberculeux </w:t>
      </w:r>
    </w:p>
    <w:p>
      <w:pPr/>
      <w:r>
        <w:rPr>
          <w:b/>
        </w:rPr>
        <w:t>Mono-résistance :</w:t>
      </w:r>
      <w:r>
        <w:rPr/>
        <w:t xml:space="preserve"> tuberculose résistante à 1 seul médicament de 1</w:t>
      </w:r>
      <w:r>
        <w:rPr/>
        <w:t>ère</w:t>
      </w:r>
      <w:r>
        <w:rPr/>
        <w:t xml:space="preserve"> ligne </w:t>
      </w:r>
    </w:p>
    <w:p>
      <w:pPr/>
      <w:r>
        <w:rPr>
          <w:b/>
        </w:rPr>
        <w:t>Poly-résistance :</w:t>
      </w:r>
      <w:r>
        <w:rPr/>
        <w:t xml:space="preserve"> TB résistante à plus d’u médicament de 1</w:t>
      </w:r>
      <w:r>
        <w:rPr/>
        <w:t>ère</w:t>
      </w:r>
      <w:r>
        <w:rPr/>
        <w:t xml:space="preserve"> ligne autre que Rifampicine et Isoniazide ensemble </w:t>
      </w:r>
    </w:p>
    <w:p>
      <w:pPr/>
      <w:r>
        <w:rPr>
          <w:b/>
        </w:rPr>
        <w:t xml:space="preserve">Tuberculose résistante à l’isoniazide ou </w:t>
      </w:r>
      <w:r>
        <w:rPr>
          <w:b/>
        </w:rPr>
        <w:t>Hr</w:t>
      </w:r>
      <w:r>
        <w:rPr>
          <w:b/>
        </w:rPr>
        <w:t>-TB</w:t>
      </w:r>
      <w:r>
        <w:rPr/>
        <w:t xml:space="preserve"> : tuberculose dont les souches de Mt son résistantes à l’isoniazide et sensible à a Rifampicine </w:t>
      </w:r>
    </w:p>
    <w:p>
      <w:pPr/>
      <w:r>
        <w:rPr>
          <w:b/>
        </w:rPr>
        <w:t>Tuberculose multi-résistante ou TB-MDR (multi-</w:t>
      </w:r>
      <w:r>
        <w:rPr>
          <w:b/>
        </w:rPr>
        <w:t>drug</w:t>
      </w:r>
      <w:r>
        <w:rPr>
          <w:b/>
        </w:rPr>
        <w:t xml:space="preserve"> </w:t>
      </w:r>
      <w:r>
        <w:rPr>
          <w:b/>
        </w:rPr>
        <w:t>resistance</w:t>
      </w:r>
      <w:r>
        <w:rPr>
          <w:b/>
        </w:rPr>
        <w:t>)</w:t>
      </w:r>
      <w:r>
        <w:rPr/>
        <w:t xml:space="preserve"> : TB dont les souches de Mt résistantes à R et H ou sans résistances à d’autres antituberculeux de 1</w:t>
      </w:r>
      <w:r>
        <w:rPr/>
        <w:t>ère</w:t>
      </w:r>
      <w:r>
        <w:rPr/>
        <w:t xml:space="preserve"> ligne </w:t>
      </w:r>
    </w:p>
    <w:p>
      <w:pPr/>
      <w:r>
        <w:rPr>
          <w:b/>
        </w:rPr>
        <w:t xml:space="preserve">Tuberculose multi-résistante à la rifampicine ou MDR/RR-TB : </w:t>
      </w:r>
      <w:r>
        <w:rPr/>
        <w:t xml:space="preserve">regroupe les cas de TB MR et de TB RR qui sont éligibles avec des schémas de </w:t>
      </w:r>
      <w:r>
        <w:rPr/>
        <w:t>ttt</w:t>
      </w:r>
      <w:r>
        <w:rPr/>
        <w:t xml:space="preserve"> de la TB MR/RR-TB</w:t>
      </w:r>
    </w:p>
    <w:p>
      <w:pPr/>
      <w:r>
        <w:rPr>
          <w:b/>
        </w:rPr>
        <w:t xml:space="preserve">TB-UR ou X-DR : </w:t>
      </w:r>
      <w:r>
        <w:rPr/>
        <w:t xml:space="preserve">TB MR + résistance à une </w:t>
      </w:r>
      <w:r>
        <w:rPr/>
        <w:t>fluoroquinone</w:t>
      </w:r>
      <w:r>
        <w:rPr/>
        <w:t xml:space="preserve"> quelle qu’elle soit et a un des agents injectables de 2</w:t>
      </w:r>
      <w:r>
        <w:rPr/>
        <w:t>ème</w:t>
      </w:r>
      <w:r>
        <w:rPr/>
        <w:t xml:space="preserve"> ligne : Amikacine, Capréomycine, Kanamycine </w:t>
      </w:r>
    </w:p>
    <w:p>
      <w:pPr/>
      <w:r>
        <w:rPr>
          <w:b/>
        </w:rPr>
        <w:t>TB ultrarésistante ou TB-UR ou TB-XDR (</w:t>
      </w:r>
      <w:r>
        <w:rPr>
          <w:b/>
        </w:rPr>
        <w:t>extensively</w:t>
      </w:r>
      <w:r>
        <w:rPr>
          <w:b/>
        </w:rPr>
        <w:t xml:space="preserve"> </w:t>
      </w:r>
      <w:r>
        <w:rPr>
          <w:b/>
        </w:rPr>
        <w:t>drug-resistance</w:t>
      </w:r>
      <w:r>
        <w:rPr>
          <w:b/>
        </w:rPr>
        <w:t>)</w:t>
      </w:r>
      <w:r>
        <w:rPr/>
        <w:t xml:space="preserve"> : TB MR/RR, résistante à une </w:t>
      </w:r>
      <w:r>
        <w:rPr/>
        <w:t>fluoroquinone</w:t>
      </w:r>
      <w:r>
        <w:rPr/>
        <w:t xml:space="preserve"> et résistante, soit à le </w:t>
      </w:r>
      <w:r>
        <w:rPr/>
        <w:t>débaquiline</w:t>
      </w:r>
      <w:r>
        <w:rPr/>
        <w:t xml:space="preserve">, soit à la </w:t>
      </w:r>
      <w:r>
        <w:rPr/>
        <w:t>linézolide</w:t>
      </w:r>
      <w:r>
        <w:rPr/>
        <w:t xml:space="preserve"> (ou aux deux) </w:t>
      </w:r>
    </w:p>
    <w:p>
      <w:pPr/>
      <w:r>
        <w:rPr>
          <w:b/>
        </w:rPr>
        <w:t>TB résistants</w:t>
      </w:r>
      <w:r>
        <w:rPr>
          <w:b/>
        </w:rPr>
        <w:t xml:space="preserve"> à la Rifampicine TB-RR </w:t>
      </w:r>
      <w:r>
        <w:rPr/>
        <w:t xml:space="preserve">: TB dont les souches de Mt sont résistantes à la Rifampicine </w:t>
      </w:r>
    </w:p>
    <w:p>
      <w:pPr/>
      <w:r>
        <w:rPr/>
        <w:t>Selon l’OMS, souches de TB-MR peuvent être sensibles à l’isoniazide ou y être résistantes, ou résistantes à d’autres antituberculeux de 1</w:t>
      </w:r>
      <w:r>
        <w:rPr/>
        <w:t>ère</w:t>
      </w:r>
      <w:r>
        <w:rPr/>
        <w:t xml:space="preserve"> ou de 2</w:t>
      </w:r>
      <w:r>
        <w:rPr/>
        <w:t>ème</w:t>
      </w:r>
      <w:r>
        <w:rPr/>
        <w:t xml:space="preserve"> ligne, inclut toutes les formes de résistance à la Rifampicine (mono, multi, poly ou ultrarésistante) </w:t>
      </w:r>
    </w:p>
    <w:p>
      <w:pPr>
        <w:pStyle w:val="Heading3"/>
      </w:pPr>
      <w:r>
        <w:rPr/>
        <w:t>Facteurs de risques</w:t>
      </w:r>
      <w:r>
        <w:rPr/>
        <w:t xml:space="preserve"> </w:t>
      </w:r>
    </w:p>
    <w:p>
      <w:pPr/>
      <w:r>
        <w:rPr/>
        <w:t xml:space="preserve">Echec des schémas de retraitement, rechute, reprise </w:t>
      </w:r>
    </w:p>
    <w:p>
      <w:pPr/>
      <w:r>
        <w:rPr/>
        <w:t xml:space="preserve">Echec d’une première chimiothérapique de courte durée </w:t>
      </w:r>
    </w:p>
    <w:p>
      <w:pPr/>
      <w:r>
        <w:rPr/>
        <w:t xml:space="preserve">Echec de traitement antituberculeux administré dans le secteur privé </w:t>
      </w:r>
    </w:p>
    <w:p>
      <w:pPr/>
      <w:r>
        <w:rPr/>
        <w:t xml:space="preserve">Une exposition à un cas de TB MR </w:t>
      </w:r>
    </w:p>
    <w:p>
      <w:pPr/>
      <w:r>
        <w:rPr/>
        <w:t xml:space="preserve">Exposition dans des établissements ou épidémies de TB MR +++ ou une forte prévalence de TB MR </w:t>
      </w:r>
    </w:p>
    <w:p>
      <w:pPr/>
      <w:r>
        <w:rPr/>
        <w:t xml:space="preserve">Séjour dans des régions où la prévalence de TB MR est élevée </w:t>
      </w:r>
    </w:p>
    <w:p>
      <w:pPr/>
      <w:r>
        <w:rPr/>
        <w:t xml:space="preserve">Notion d’utilisation d’antituberculeux de qualité médiocre ou inconnue </w:t>
      </w:r>
    </w:p>
    <w:p>
      <w:pPr/>
      <w:r>
        <w:rPr/>
        <w:t xml:space="preserve">Notion d’utilisation de médicaments interférant à l’action des antituberculeux ou métabolisme </w:t>
      </w:r>
    </w:p>
    <w:p>
      <w:pPr/>
      <w:r>
        <w:rPr/>
        <w:t xml:space="preserve">Traitement administré dans le cadre de programme fonctionnant mal (rupture de stock récentes et/ou fréquentes, pas de suivi, posologie incorrecte, TDO insuffisant) </w:t>
      </w:r>
    </w:p>
    <w:p>
      <w:pPr/>
      <w:r>
        <w:rPr/>
        <w:t xml:space="preserve">Comorbidité + diarrhée </w:t>
      </w:r>
      <w:r>
        <w:rPr/>
      </w:r>
      <w:r>
        <w:rPr/>
        <w:t xml:space="preserve"> malabsorption ou accélération du transit </w:t>
      </w:r>
    </w:p>
    <w:p>
      <w:pPr/>
      <w:r>
        <w:rPr/>
        <w:t xml:space="preserve">VIH dans certains environnements </w:t>
      </w:r>
    </w:p>
    <w:p>
      <w:pPr>
        <w:pStyle w:val="Heading2"/>
      </w:pPr>
      <w:r>
        <w:rPr/>
        <w:t>Algorithme</w:t>
      </w:r>
      <w:r>
        <w:rPr/>
        <w:t xml:space="preserve"> </w:t>
      </w:r>
    </w:p>
    <w:p>
      <w:pPr/>
      <w:r>
        <w:rPr/>
        <w:t xml:space="preserve">Algorithme de dépistage de la résistance </w:t>
      </w:r>
    </w:p>
    <w:p>
      <w:pPr>
        <w:pStyle w:val="Heading3"/>
      </w:pPr>
      <w:r>
        <w:rPr/>
        <w:t>Traitement court de 9 mois</w:t>
      </w:r>
      <w:r>
        <w:rPr/>
        <w:t xml:space="preserve"> </w:t>
      </w:r>
    </w:p>
    <w:p>
      <w:pPr>
        <w:pStyle w:val="Heading4"/>
      </w:pPr>
      <w:r>
        <w:rPr/>
        <w:t>Buts</w:t>
      </w:r>
      <w:r>
        <w:rPr/>
        <w:t xml:space="preserve"> </w:t>
      </w:r>
    </w:p>
    <w:p>
      <w:pPr/>
      <w:r>
        <w:rPr/>
        <w:t xml:space="preserve">Pas de différence avec ceux </w:t>
      </w:r>
      <w:r>
        <w:rPr/>
        <w:t>du tb sensible</w:t>
      </w:r>
      <w:r>
        <w:rPr/>
        <w:t xml:space="preserve"> :</w:t>
      </w:r>
    </w:p>
    <w:p>
      <w:pPr/>
      <w:r>
        <w:rPr/>
        <w:t xml:space="preserve">Guérir le malade </w:t>
      </w:r>
    </w:p>
    <w:p>
      <w:pPr/>
      <w:r>
        <w:rPr/>
        <w:t>Rompre de la chaine de transmission des bacilles</w:t>
      </w:r>
    </w:p>
    <w:p>
      <w:pPr>
        <w:pStyle w:val="Heading4"/>
      </w:pPr>
      <w:r>
        <w:rPr/>
        <w:t>Moyens médicamenteux</w:t>
      </w:r>
      <w:r>
        <w:rPr/>
        <w:t xml:space="preserve"> </w:t>
      </w:r>
    </w:p>
    <w:p>
      <w:pPr/>
      <w:r>
        <w:rPr/>
        <w:t xml:space="preserve">Tableau </w:t>
      </w:r>
    </w:p>
    <w:p>
      <w:pPr>
        <w:pStyle w:val="Heading4"/>
      </w:pPr>
      <w:r>
        <w:rPr/>
        <w:t>Principes du traitement</w:t>
      </w:r>
    </w:p>
    <w:p>
      <w:pPr/>
      <w:r>
        <w:rPr/>
        <w:t xml:space="preserve">Utiliser au moins 4 </w:t>
      </w:r>
      <w:r>
        <w:rPr/>
        <w:t>médicaments efficaces</w:t>
      </w:r>
      <w:r>
        <w:rPr/>
        <w:t xml:space="preserve"> </w:t>
      </w:r>
    </w:p>
    <w:p>
      <w:pPr/>
      <w:r>
        <w:rPr/>
        <w:t xml:space="preserve">Expliquer clairement au </w:t>
      </w:r>
      <w:r>
        <w:rPr/>
        <w:t>malade</w:t>
      </w:r>
      <w:r>
        <w:rPr/>
        <w:t xml:space="preserve"> et au personnel quel la pise </w:t>
      </w:r>
      <w:r>
        <w:rPr/>
        <w:t>rigoureuse  du</w:t>
      </w:r>
      <w:r>
        <w:rPr/>
        <w:t xml:space="preserve"> médicament de 2</w:t>
      </w:r>
      <w:r>
        <w:rPr/>
        <w:t>ème</w:t>
      </w:r>
      <w:r>
        <w:rPr/>
        <w:t xml:space="preserve"> linge := dernière possible  échapper le mort</w:t>
      </w:r>
    </w:p>
    <w:p>
      <w:pPr/>
      <w:r>
        <w:rPr/>
        <w:t>Traitement de durée suffisante et o dose adaptés au poids du malade,</w:t>
      </w:r>
    </w:p>
    <w:p>
      <w:pPr/>
      <w:r>
        <w:rPr/>
        <w:t>TDO strict pendant toute la durée du traitement</w:t>
      </w:r>
    </w:p>
    <w:p>
      <w:pPr/>
      <w:r>
        <w:rPr/>
        <w:t xml:space="preserve">Soutenir psychologique le malade et sa famille </w:t>
      </w:r>
    </w:p>
    <w:p>
      <w:pPr/>
      <w:r>
        <w:rPr/>
        <w:t>Prendre ……</w:t>
      </w:r>
    </w:p>
    <w:p>
      <w:pPr>
        <w:pStyle w:val="Heading4"/>
      </w:pPr>
      <w:r>
        <w:rPr/>
        <w:t>Protocole thérapeutique</w:t>
      </w:r>
      <w:r>
        <w:rPr/>
        <w:t xml:space="preserve"> </w:t>
      </w:r>
    </w:p>
    <w:p>
      <w:pPr/>
      <w:r>
        <w:rPr>
          <w:b/>
        </w:rPr>
        <w:t>Voir les tableaux donnés</w:t>
      </w:r>
    </w:p>
    <w:p>
      <w:pPr>
        <w:pStyle w:val="Heading4"/>
      </w:pPr>
      <w:r>
        <w:rPr/>
        <w:t xml:space="preserve">Surveillance du </w:t>
      </w:r>
      <w:r>
        <w:rPr/>
        <w:t>traitement</w:t>
      </w:r>
    </w:p>
    <w:p>
      <w:pPr/>
      <w:r>
        <w:rPr/>
        <w:t>Traitement</w:t>
      </w:r>
      <w:r>
        <w:rPr/>
        <w:t xml:space="preserve"> directement</w:t>
      </w:r>
      <w:r>
        <w:rPr/>
        <w:t xml:space="preserve"> observée TDO </w:t>
      </w:r>
      <w:r>
        <w:rPr/>
        <w:t>pendant</w:t>
      </w:r>
      <w:r>
        <w:rPr/>
        <w:t xml:space="preserve"> toute la </w:t>
      </w:r>
      <w:r>
        <w:rPr/>
        <w:t>durée du traitement</w:t>
      </w:r>
    </w:p>
    <w:p>
      <w:pPr/>
      <w:r>
        <w:rPr/>
        <w:t xml:space="preserve">Surveillance clinique et des effets secondaires des médicaments </w:t>
      </w:r>
    </w:p>
    <w:p>
      <w:pPr/>
      <w:r>
        <w:rPr/>
        <w:t xml:space="preserve">Contrôle frottis et cultures </w:t>
      </w:r>
    </w:p>
    <w:p>
      <w:pPr/>
      <w:r>
        <w:rPr/>
        <w:t>Bilans hématologiques</w:t>
      </w:r>
      <w:r>
        <w:rPr/>
        <w:t xml:space="preserve">, radiologique </w:t>
      </w:r>
    </w:p>
    <w:p>
      <w:pPr>
        <w:pStyle w:val="Heading4"/>
      </w:pPr>
      <w:r>
        <w:rPr/>
        <w:t>Surveillance</w:t>
      </w:r>
      <w:r>
        <w:rPr/>
        <w:t xml:space="preserve"> de </w:t>
      </w:r>
      <w:r>
        <w:rPr/>
        <w:t>traitement</w:t>
      </w:r>
      <w:r>
        <w:rPr/>
        <w:t xml:space="preserve"> schéma cour </w:t>
      </w:r>
      <w:r>
        <w:rPr/>
        <w:t>entière</w:t>
      </w:r>
      <w:r>
        <w:rPr/>
        <w:t xml:space="preserve"> oral</w:t>
      </w:r>
      <w:r>
        <w:rPr/>
        <w:t>e</w:t>
      </w:r>
    </w:p>
    <w:p>
      <w:pPr/>
      <w:r>
        <w:rPr/>
        <w:t>Phase de cont</w:t>
      </w:r>
      <w:r>
        <w:rPr/>
        <w:t>in</w:t>
      </w:r>
      <w:r>
        <w:rPr/>
        <w:t>uation = 5</w:t>
      </w:r>
      <w:r>
        <w:rPr/>
        <w:t>ème</w:t>
      </w:r>
      <w:r>
        <w:rPr/>
        <w:t xml:space="preserve"> mois après 2 crachat</w:t>
      </w:r>
      <w:r>
        <w:rPr/>
        <w:t xml:space="preserve"> négatif </w:t>
      </w:r>
    </w:p>
    <w:p>
      <w:pPr/>
      <w:r>
        <w:rPr/>
        <w:t>Conversio</w:t>
      </w:r>
      <w:r>
        <w:rPr/>
        <w:t>n</w:t>
      </w:r>
      <w:r>
        <w:rPr/>
        <w:t xml:space="preserve"> confi</w:t>
      </w:r>
      <w:r>
        <w:rPr/>
        <w:t>r</w:t>
      </w:r>
      <w:r>
        <w:rPr/>
        <w:t>mée par</w:t>
      </w:r>
      <w:r>
        <w:rPr/>
        <w:t xml:space="preserve"> la </w:t>
      </w:r>
      <w:r>
        <w:rPr/>
        <w:t>c</w:t>
      </w:r>
      <w:r>
        <w:rPr/>
        <w:t>u</w:t>
      </w:r>
      <w:r>
        <w:rPr/>
        <w:t xml:space="preserve">lture </w:t>
      </w:r>
    </w:p>
    <w:p>
      <w:pPr/>
      <w:r>
        <w:rPr/>
        <w:t xml:space="preserve">Si crachats POS </w:t>
      </w:r>
      <w:r>
        <w:rPr/>
        <w:t>afin</w:t>
      </w:r>
      <w:r>
        <w:rPr/>
        <w:t xml:space="preserve"> de 4</w:t>
      </w:r>
      <w:r>
        <w:rPr/>
        <w:t>ème</w:t>
      </w:r>
      <w:r>
        <w:rPr/>
        <w:t xml:space="preserve"> pois, </w:t>
      </w:r>
      <w:r>
        <w:rPr/>
        <w:t>phase</w:t>
      </w:r>
      <w:r>
        <w:rPr/>
        <w:t xml:space="preserve"> </w:t>
      </w:r>
      <w:r>
        <w:rPr/>
        <w:t>intensive</w:t>
      </w:r>
      <w:r>
        <w:rPr/>
        <w:t xml:space="preserve"> à po</w:t>
      </w:r>
      <w:r>
        <w:rPr/>
        <w:t>ur</w:t>
      </w:r>
      <w:r>
        <w:rPr/>
        <w:t xml:space="preserve">suivre pour un maximum de 2 mois + élévation </w:t>
      </w:r>
      <w:r>
        <w:rPr/>
        <w:t>mensuelle</w:t>
      </w:r>
    </w:p>
    <w:p>
      <w:pPr/>
      <w:r>
        <w:rPr/>
        <w:t xml:space="preserve">Duré phase de </w:t>
      </w:r>
      <w:r>
        <w:rPr/>
        <w:t>continuation</w:t>
      </w:r>
      <w:r>
        <w:rPr/>
        <w:t xml:space="preserve"> = 5 ……</w:t>
      </w:r>
    </w:p>
    <w:p>
      <w:pPr>
        <w:pStyle w:val="Heading4"/>
      </w:pPr>
      <w:r>
        <w:rPr/>
        <w:t>Effets indésirable et conduite à tenir</w:t>
      </w:r>
    </w:p>
    <w:p>
      <w:pPr/>
      <w:r>
        <w:rPr/>
        <w:t>Presque tous malades présentant des EI ; éducation au début de traitement +++</w:t>
      </w:r>
    </w:p>
    <w:p>
      <w:pPr/>
      <w:r>
        <w:rPr/>
        <w:t xml:space="preserve">Surveillance +++ </w:t>
      </w:r>
      <w:r>
        <w:rPr/>
      </w:r>
      <w:r>
        <w:rPr/>
        <w:t xml:space="preserve"> prise en charge rapide et intensive des EI</w:t>
      </w:r>
      <w:r>
        <w:rPr/>
      </w:r>
      <w:r>
        <w:rPr/>
        <w:t xml:space="preserve"> observance thérapeutique </w:t>
      </w:r>
    </w:p>
    <w:p>
      <w:pPr/>
      <w:r>
        <w:rPr/>
        <w:t>Soutien psycho-sociale+++</w:t>
      </w:r>
    </w:p>
    <w:p>
      <w:pPr/>
      <w:r>
        <w:rPr/>
        <w:t>Noter dans les dossiers et rapporter à la pharmacovigilance +++</w:t>
      </w:r>
    </w:p>
    <w:p>
      <w:pPr/>
      <w:r>
        <w:rPr>
          <w:b/>
        </w:rPr>
        <w:t xml:space="preserve">Effets indésirables et conduite à tenir (tableau) </w:t>
      </w:r>
    </w:p>
    <w:p>
      <w:pPr>
        <w:pStyle w:val="Heading2"/>
      </w:pPr>
      <w:r>
        <w:rPr/>
        <w:t>Prévention tb-</w:t>
      </w:r>
      <w:r>
        <w:rPr/>
        <w:t>mr</w:t>
      </w:r>
    </w:p>
    <w:p>
      <w:pPr/>
      <w:r>
        <w:rPr/>
        <w:t xml:space="preserve">Bien suivre le traitement i, isolement </w:t>
      </w:r>
      <w:r>
        <w:rPr/>
      </w:r>
      <w:r>
        <w:rPr/>
        <w:t xml:space="preserve"> conversion culture (individuel) </w:t>
      </w:r>
    </w:p>
    <w:p>
      <w:pPr/>
      <w:r>
        <w:rPr/>
        <w:t xml:space="preserve">Eviter </w:t>
      </w:r>
      <w:r>
        <w:rPr/>
        <w:t>l’erreur</w:t>
      </w:r>
      <w:r>
        <w:rPr/>
        <w:t xml:space="preserve"> (générale)</w:t>
      </w:r>
    </w:p>
    <w:p>
      <w:pPr/>
      <w:r>
        <w:rPr/>
        <w:t>Vie suivre l</w:t>
      </w:r>
      <w:r>
        <w:rPr/>
        <w:t>es</w:t>
      </w:r>
      <w:r>
        <w:rPr/>
        <w:t xml:space="preserve"> précaution</w:t>
      </w:r>
      <w:r>
        <w:rPr/>
        <w:t>s</w:t>
      </w:r>
      <w:r>
        <w:rPr/>
        <w:t xml:space="preserve"> universelles </w:t>
      </w:r>
      <w:r>
        <w:rPr/>
      </w:r>
      <w:r>
        <w:rPr/>
        <w:t xml:space="preserve"> réduction tb-</w:t>
      </w:r>
      <w:r>
        <w:rPr/>
        <w:t>mr</w:t>
      </w:r>
      <w:r>
        <w:rPr/>
        <w:t xml:space="preserve"> dans une population </w:t>
      </w:r>
    </w:p>
    <w:p>
      <w:pPr/>
      <w:r>
        <w:rPr/>
        <w:t>Mesure individuelle</w:t>
      </w:r>
      <w:r>
        <w:rPr/>
        <w:t xml:space="preserve"> : port de masque</w:t>
      </w:r>
    </w:p>
    <w:p>
      <w:pPr/>
      <w:r>
        <w:rPr/>
        <w:t>Dépistage des contacts tb-</w:t>
      </w:r>
      <w:r>
        <w:rPr/>
        <w:t>mr</w:t>
      </w:r>
    </w:p>
    <w:p>
      <w:pPr/>
      <w:r>
        <w:rPr/>
        <w:t>Ensoleillement, ventilation +++</w:t>
      </w:r>
    </w:p>
    <w:p>
      <w:pPr>
        <w:pStyle w:val="Heading2"/>
      </w:pPr>
      <w:r>
        <w:rPr/>
        <w:t>Conclusion</w:t>
      </w:r>
    </w:p>
    <w:p>
      <w:pPr/>
      <w:r>
        <w:rPr/>
        <w:t>Menace sérieuse pour le PNLT et une des étapes vers développement de la forme encore plus résistante : tuberculose extrêmement résistante XDR-TB</w:t>
      </w:r>
    </w:p>
    <w:p>
      <w:pPr/>
      <w:r>
        <w:rPr/>
        <w:t>Prévention création nouvelles résistance : application</w:t>
      </w:r>
      <w:r>
        <w:rPr/>
        <w:t xml:space="preserve"> ....</w:t>
      </w:r>
      <w:r>
        <w:rPr/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