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Tuberculose </w:t>
      </w:r>
      <w:r>
        <w:rPr/>
        <w:t>pulmonaire</w:t>
      </w:r>
      <w:r>
        <w:rPr/>
        <w:t xml:space="preserve"> continue</w:t>
      </w:r>
    </w:p>
    <w:p>
      <w:pPr>
        <w:pStyle w:val="Heading2"/>
      </w:pPr>
      <w:r>
        <w:rPr/>
        <w:t>Objectifs</w:t>
      </w:r>
    </w:p>
    <w:p>
      <w:pPr/>
      <w:r>
        <w:rPr/>
        <w:t xml:space="preserve">Poser le diagnostic d’une tuberculose pulmonaire </w:t>
      </w:r>
    </w:p>
    <w:p>
      <w:pPr/>
      <w:r>
        <w:rPr/>
        <w:t xml:space="preserve">Eliminer </w:t>
      </w:r>
      <w:r>
        <w:rPr/>
        <w:t>les diagnostics différentiels</w:t>
      </w:r>
    </w:p>
    <w:p>
      <w:pPr>
        <w:pStyle w:val="Heading2"/>
      </w:pPr>
      <w:r>
        <w:rPr/>
        <w:t>Signes</w:t>
      </w:r>
    </w:p>
    <w:p>
      <w:pPr>
        <w:pStyle w:val="Heading3"/>
      </w:pPr>
      <w:r>
        <w:rPr/>
        <w:t>Type de description : tuberculose pulmonaire continue (forme la plus classique)</w:t>
      </w:r>
    </w:p>
    <w:p>
      <w:pPr>
        <w:pStyle w:val="Heading4"/>
      </w:pPr>
      <w:r>
        <w:rPr/>
        <w:t>Circonstance de découverte</w:t>
      </w:r>
    </w:p>
    <w:p>
      <w:pPr/>
      <w:r>
        <w:rPr/>
        <w:t xml:space="preserve">Systématique : examen d’un entourage d’un patient tuberculeux, chez les sujets à risques, cliché </w:t>
      </w:r>
      <w:r>
        <w:rPr/>
        <w:t>thoracique systématique</w:t>
      </w:r>
    </w:p>
    <w:p>
      <w:pPr>
        <w:pStyle w:val="Heading5"/>
      </w:pPr>
      <w:r>
        <w:rPr/>
        <w:t>Devant des signes généraux (non spécifiques)</w:t>
      </w:r>
    </w:p>
    <w:p>
      <w:pPr/>
      <w:r>
        <w:rPr/>
        <w:t>Altération de l’état général : asthénie, anorexie, amaigrissement</w:t>
      </w:r>
    </w:p>
    <w:p>
      <w:pPr/>
      <w:r>
        <w:rPr/>
        <w:t>Fièvre à prédominance nocturne</w:t>
      </w:r>
    </w:p>
    <w:p>
      <w:pPr/>
      <w:r>
        <w:rPr/>
        <w:t>Sueurs nocturnes</w:t>
      </w:r>
    </w:p>
    <w:p>
      <w:pPr>
        <w:pStyle w:val="Heading5"/>
      </w:pPr>
      <w:r>
        <w:rPr/>
        <w:t xml:space="preserve">Devant des signes </w:t>
      </w:r>
      <w:r>
        <w:rPr/>
        <w:t>respiratoires</w:t>
      </w:r>
      <w:r>
        <w:rPr/>
        <w:t xml:space="preserve"> (non spécifiques)</w:t>
      </w:r>
    </w:p>
    <w:p>
      <w:pPr/>
      <w:r>
        <w:rPr/>
        <w:t xml:space="preserve">Toux </w:t>
      </w:r>
      <w:r>
        <w:rPr/>
        <w:t>persistante</w:t>
      </w:r>
      <w:r>
        <w:rPr/>
        <w:t xml:space="preserve"> </w:t>
      </w:r>
      <w:r>
        <w:rPr/>
        <w:t>plus</w:t>
      </w:r>
      <w:r>
        <w:rPr/>
        <w:t xml:space="preserve"> de 3 semaines </w:t>
      </w:r>
    </w:p>
    <w:p>
      <w:pPr/>
      <w:r>
        <w:rPr/>
        <w:t>Hémoptysie</w:t>
      </w:r>
    </w:p>
    <w:p>
      <w:pPr/>
      <w:r>
        <w:rPr/>
        <w:t>Douleur thoracique, dyspnée</w:t>
      </w:r>
    </w:p>
    <w:p>
      <w:pPr/>
      <w:r>
        <w:rPr/>
        <w:t xml:space="preserve">Tableau pseudo-pneumonique </w:t>
      </w:r>
      <w:r>
        <w:rPr/>
        <w:t>persistante</w:t>
      </w:r>
    </w:p>
    <w:p>
      <w:pPr>
        <w:pStyle w:val="Heading4"/>
      </w:pPr>
      <w:r>
        <w:rPr/>
        <w:t>Signes cliniques</w:t>
      </w:r>
    </w:p>
    <w:p>
      <w:pPr/>
      <w:r>
        <w:rPr/>
        <w:t>Normal au début</w:t>
      </w:r>
    </w:p>
    <w:p>
      <w:pPr/>
      <w:r>
        <w:rPr/>
        <w:t xml:space="preserve">Stade avancé : râles crépitants, sd de condensation, souffle cavitaire </w:t>
      </w:r>
    </w:p>
    <w:p>
      <w:pPr/>
      <w:r>
        <w:rPr/>
        <w:t>Recherche d’autres localisations</w:t>
      </w:r>
    </w:p>
    <w:p>
      <w:pPr>
        <w:pStyle w:val="Heading4"/>
      </w:pPr>
      <w:r>
        <w:rPr/>
        <w:t>Examens paracliniques</w:t>
      </w:r>
    </w:p>
    <w:p>
      <w:pPr>
        <w:pStyle w:val="Heading5"/>
      </w:pPr>
      <w:r>
        <w:rPr/>
        <w:t>Radiographie thoracique :</w:t>
      </w:r>
    </w:p>
    <w:p>
      <w:pPr>
        <w:pStyle w:val="Heading6"/>
      </w:pPr>
      <w:r>
        <w:rPr/>
        <w:t xml:space="preserve">4 lésions </w:t>
      </w:r>
      <w:r>
        <w:rPr/>
        <w:t>évocatrices</w:t>
      </w:r>
      <w:r>
        <w:rPr/>
        <w:t xml:space="preserve"> :</w:t>
      </w:r>
    </w:p>
    <w:p>
      <w:pPr>
        <w:pStyle w:val="Heading7"/>
      </w:pPr>
      <w:r>
        <w:rPr/>
        <w:t>Images d’infiltrations</w:t>
      </w:r>
    </w:p>
    <w:p>
      <w:pPr/>
      <w:r>
        <w:rPr/>
        <w:t>Opacité minime</w:t>
      </w:r>
    </w:p>
    <w:p>
      <w:pPr/>
      <w:r>
        <w:rPr/>
        <w:t>Hétérogènes</w:t>
      </w:r>
    </w:p>
    <w:p>
      <w:pPr/>
      <w:r>
        <w:rPr/>
        <w:t>Peu denses</w:t>
      </w:r>
    </w:p>
    <w:p>
      <w:pPr/>
      <w:r>
        <w:rPr/>
        <w:t>Plus ou moins étendus</w:t>
      </w:r>
    </w:p>
    <w:p>
      <w:pPr>
        <w:pStyle w:val="Heading7"/>
      </w:pPr>
      <w:r>
        <w:rPr/>
        <w:t>Image de caverne</w:t>
      </w:r>
    </w:p>
    <w:p>
      <w:pPr/>
      <w:r>
        <w:rPr/>
        <w:t>Excavation (cavité)</w:t>
      </w:r>
    </w:p>
    <w:p>
      <w:pPr/>
      <w:r>
        <w:rPr/>
        <w:t>Paroi épaisse</w:t>
      </w:r>
    </w:p>
    <w:p>
      <w:pPr/>
      <w:r>
        <w:rPr/>
        <w:t>Bronche de drainage</w:t>
      </w:r>
    </w:p>
    <w:p>
      <w:pPr>
        <w:pStyle w:val="Heading7"/>
      </w:pPr>
      <w:r>
        <w:rPr/>
        <w:t>Image nodulaire</w:t>
      </w:r>
    </w:p>
    <w:p>
      <w:pPr>
        <w:pStyle w:val="Heading7"/>
      </w:pPr>
      <w:r>
        <w:rPr/>
        <w:t xml:space="preserve">Image alvéolaire ou image de </w:t>
      </w:r>
      <w:r>
        <w:rPr/>
        <w:t>lobite</w:t>
      </w:r>
    </w:p>
    <w:p>
      <w:pPr/>
      <w:r>
        <w:rPr/>
        <w:t>Opacité alvéolaire</w:t>
      </w:r>
    </w:p>
    <w:p>
      <w:pPr/>
      <w:r>
        <w:rPr/>
        <w:t>Mas limité</w:t>
      </w:r>
    </w:p>
    <w:p>
      <w:pPr/>
      <w:r>
        <w:rPr/>
        <w:t>Bronchogramme aérique</w:t>
      </w:r>
    </w:p>
    <w:p>
      <w:pPr/>
      <w:r>
        <w:rPr/>
        <w:t xml:space="preserve">Pneumonie </w:t>
      </w:r>
      <w:r>
        <w:rPr/>
        <w:t>tuberculeuse</w:t>
      </w:r>
    </w:p>
    <w:p>
      <w:pPr>
        <w:pStyle w:val="Heading6"/>
      </w:pPr>
      <w:r>
        <w:rPr/>
        <w:t>Siège des lésions</w:t>
      </w:r>
    </w:p>
    <w:p>
      <w:pPr/>
      <w:r>
        <w:rPr/>
        <w:t>Lobe</w:t>
      </w:r>
      <w:r>
        <w:rPr/>
        <w:t xml:space="preserve"> supérieur ou </w:t>
      </w:r>
      <w:r>
        <w:rPr/>
        <w:t>segment</w:t>
      </w:r>
      <w:r>
        <w:rPr/>
        <w:t xml:space="preserve"> supérieur lobe </w:t>
      </w:r>
      <w:r>
        <w:rPr/>
        <w:t>inférieur</w:t>
      </w:r>
    </w:p>
    <w:p>
      <w:pPr/>
      <w:r>
        <w:rPr/>
        <w:t xml:space="preserve">Ces 3 types de lésion peuvent être </w:t>
      </w:r>
      <w:r>
        <w:rPr/>
        <w:t>associés</w:t>
      </w:r>
    </w:p>
    <w:p>
      <w:pPr>
        <w:pStyle w:val="Heading5"/>
      </w:pPr>
      <w:r>
        <w:rPr/>
        <w:t>Les évolutions</w:t>
      </w:r>
    </w:p>
    <w:p>
      <w:pPr/>
      <w:r>
        <w:rPr/>
        <w:t xml:space="preserve">Aggravation </w:t>
      </w:r>
      <w:r>
        <w:rPr/>
        <w:t>radiographique</w:t>
      </w:r>
      <w:r>
        <w:rPr/>
        <w:t xml:space="preserve"> à 2 semaines d’intervalle</w:t>
      </w:r>
    </w:p>
    <w:p>
      <w:pPr/>
      <w:r>
        <w:rPr/>
        <w:t>Destruction parenchymateuse</w:t>
      </w:r>
    </w:p>
    <w:p>
      <w:pPr/>
      <w:r>
        <w:rPr/>
        <w:t xml:space="preserve">Fibrose </w:t>
      </w:r>
    </w:p>
    <w:p>
      <w:pPr/>
      <w:r>
        <w:rPr/>
        <w:t>Séquelle rétractile</w:t>
      </w:r>
    </w:p>
    <w:p>
      <w:pPr>
        <w:pStyle w:val="Heading5"/>
      </w:pPr>
      <w:r>
        <w:rPr/>
        <w:t>Examen bactériologique (crachat BAAR)</w:t>
      </w:r>
    </w:p>
    <w:p>
      <w:pPr>
        <w:pStyle w:val="Heading6"/>
      </w:pPr>
      <w:r>
        <w:rPr/>
        <w:t>Prélèvement</w:t>
      </w:r>
    </w:p>
    <w:p>
      <w:pPr/>
      <w:r>
        <w:rPr/>
        <w:t>Recueil</w:t>
      </w:r>
      <w:r>
        <w:rPr/>
        <w:t xml:space="preserve"> des expectoration</w:t>
      </w:r>
      <w:r>
        <w:rPr/>
        <w:t>s</w:t>
      </w:r>
      <w:r>
        <w:rPr/>
        <w:t xml:space="preserve"> </w:t>
      </w:r>
      <w:r>
        <w:rPr/>
        <w:t>matinale)</w:t>
      </w:r>
      <w:r>
        <w:rPr/>
        <w:t xml:space="preserve"> 5 </w:t>
      </w:r>
      <w:r>
        <w:rPr/>
        <w:t>heures</w:t>
      </w:r>
      <w:r>
        <w:rPr/>
        <w:t xml:space="preserve"> et 7 </w:t>
      </w:r>
      <w:r>
        <w:rPr/>
        <w:t>heures</w:t>
      </w:r>
      <w:r>
        <w:rPr/>
        <w:t xml:space="preserve"> du matin</w:t>
      </w:r>
    </w:p>
    <w:p>
      <w:pPr/>
      <w:r>
        <w:rPr/>
        <w:t xml:space="preserve">Tubage </w:t>
      </w:r>
      <w:r>
        <w:rPr/>
        <w:t>gastrique,</w:t>
      </w:r>
      <w:r>
        <w:rPr/>
        <w:t xml:space="preserve"> à jeun, avant le lever ni </w:t>
      </w:r>
      <w:r>
        <w:rPr/>
        <w:t>absence d’expectoration</w:t>
      </w:r>
    </w:p>
    <w:p>
      <w:pPr/>
      <w:r>
        <w:rPr/>
        <w:t xml:space="preserve">Par </w:t>
      </w:r>
      <w:r>
        <w:rPr/>
        <w:t>fibroscopie bronchique</w:t>
      </w:r>
      <w:r>
        <w:rPr/>
        <w:t xml:space="preserve">, lavage </w:t>
      </w:r>
      <w:r>
        <w:rPr/>
        <w:t>broncho alvéolaire</w:t>
      </w:r>
      <w:r>
        <w:rPr/>
        <w:t xml:space="preserve"> ou LBA)</w:t>
      </w:r>
    </w:p>
    <w:p>
      <w:pPr>
        <w:pStyle w:val="Heading6"/>
      </w:pPr>
      <w:r>
        <w:rPr/>
        <w:t>Examen direct</w:t>
      </w:r>
    </w:p>
    <w:p>
      <w:pPr/>
      <w:r>
        <w:rPr/>
        <w:t>Coloration de Ziehl-</w:t>
      </w:r>
      <w:r>
        <w:rPr/>
        <w:t>Neilsen</w:t>
      </w:r>
      <w:r>
        <w:rPr/>
        <w:t>, mise en évidence de BAAR</w:t>
      </w:r>
    </w:p>
    <w:p>
      <w:pPr/>
      <w:r>
        <w:rPr/>
        <w:t>Fluorescence à l’</w:t>
      </w:r>
      <w:r>
        <w:rPr/>
        <w:t>auramine</w:t>
      </w:r>
    </w:p>
    <w:p>
      <w:pPr/>
      <w:r>
        <w:rPr/>
        <w:t xml:space="preserve">NB : la </w:t>
      </w:r>
      <w:r>
        <w:rPr/>
        <w:t>positivité de</w:t>
      </w:r>
      <w:r>
        <w:rPr/>
        <w:t xml:space="preserve"> l’</w:t>
      </w:r>
      <w:r>
        <w:rPr/>
        <w:t>expectoration</w:t>
      </w:r>
      <w:r>
        <w:rPr/>
        <w:t xml:space="preserve"> témoigne de la contagiosité </w:t>
      </w:r>
    </w:p>
    <w:p>
      <w:pPr/>
      <w:r>
        <w:rPr/>
        <w:t xml:space="preserve">Permet de quantifier le nombre de </w:t>
      </w:r>
      <w:r>
        <w:rPr/>
        <w:t>mycobactérie par</w:t>
      </w:r>
      <w:r>
        <w:rPr/>
        <w:t xml:space="preserve"> champ de microscope</w:t>
      </w:r>
    </w:p>
    <w:p>
      <w:pPr>
        <w:pStyle w:val="Heading5"/>
      </w:pPr>
      <w:r>
        <w:rPr/>
        <w:t>Tableau : notation des résultats de l’examen direct des crachats (objectif +/- 100) (à rechercher)</w:t>
      </w:r>
    </w:p>
    <w:p>
      <w:pPr>
        <w:pStyle w:val="Heading6"/>
      </w:pPr>
      <w:r>
        <w:rPr/>
        <w:t xml:space="preserve">1- </w:t>
      </w:r>
      <w:r>
        <w:rPr/>
        <w:t>Xpert</w:t>
      </w:r>
      <w:r>
        <w:rPr/>
        <w:t xml:space="preserve"> MTB/RIF(</w:t>
      </w:r>
      <w:r>
        <w:rPr/>
        <w:t>GenXpert</w:t>
      </w:r>
      <w:r>
        <w:rPr/>
        <w:t>), permet d’établir à la fois</w:t>
      </w:r>
    </w:p>
    <w:p>
      <w:pPr/>
      <w:r>
        <w:rPr/>
        <w:t>La</w:t>
      </w:r>
      <w:r>
        <w:rPr/>
        <w:t xml:space="preserve"> présence de MT</w:t>
      </w:r>
    </w:p>
    <w:p>
      <w:pPr/>
      <w:r>
        <w:rPr/>
        <w:t xml:space="preserve">La présence de </w:t>
      </w:r>
      <w:r>
        <w:rPr/>
        <w:t>résistance</w:t>
      </w:r>
      <w:r>
        <w:rPr/>
        <w:t xml:space="preserve"> à la Rifampicine </w:t>
      </w:r>
    </w:p>
    <w:p>
      <w:pPr/>
      <w:r>
        <w:rPr/>
        <w:t xml:space="preserve">Culture </w:t>
      </w:r>
    </w:p>
    <w:p>
      <w:pPr/>
      <w:r>
        <w:rPr/>
        <w:t xml:space="preserve">Milieu de </w:t>
      </w:r>
      <w:r>
        <w:rPr/>
        <w:t>Lowenstein</w:t>
      </w:r>
      <w:r>
        <w:rPr/>
        <w:t xml:space="preserve">-Jensen : délai de 3 – 6 </w:t>
      </w:r>
      <w:r>
        <w:rPr/>
        <w:t>semaines</w:t>
      </w:r>
      <w:r>
        <w:rPr/>
        <w:t xml:space="preserve"> </w:t>
      </w:r>
    </w:p>
    <w:p>
      <w:pPr/>
      <w:r>
        <w:rPr/>
        <w:t>Détection rapide (bactérie), délai de 10 – 15 jours</w:t>
      </w:r>
    </w:p>
    <w:p>
      <w:pPr>
        <w:pStyle w:val="Heading6"/>
      </w:pPr>
      <w:r>
        <w:rPr/>
        <w:t xml:space="preserve">2- permet de détection type de Mycobactérie par </w:t>
      </w:r>
      <w:r>
        <w:rPr/>
        <w:t>un</w:t>
      </w:r>
      <w:r>
        <w:rPr/>
        <w:t xml:space="preserve"> typage </w:t>
      </w:r>
    </w:p>
    <w:p>
      <w:pPr/>
      <w:r>
        <w:rPr/>
        <w:t xml:space="preserve">Antibiogramme </w:t>
      </w:r>
    </w:p>
    <w:p>
      <w:pPr/>
      <w:r>
        <w:rPr/>
        <w:t xml:space="preserve">Indispensable pour rechercher une résistance </w:t>
      </w:r>
    </w:p>
    <w:p>
      <w:pPr/>
      <w:r>
        <w:rPr/>
        <w:t>Risque de résistance +++ si rechute ou traitement mal conduit</w:t>
      </w:r>
    </w:p>
    <w:p>
      <w:pPr>
        <w:pStyle w:val="Heading5"/>
      </w:pPr>
      <w:r>
        <w:rPr/>
        <w:t>Autres examens</w:t>
      </w:r>
    </w:p>
    <w:p>
      <w:pPr/>
      <w:r>
        <w:rPr/>
        <w:t xml:space="preserve">Sd inflammatoire : </w:t>
      </w:r>
      <w:r>
        <w:rPr/>
        <w:t>augmentation</w:t>
      </w:r>
      <w:r>
        <w:rPr/>
        <w:t xml:space="preserve"> de VS ou CRP souvent sans hyperleucocytose voire une </w:t>
      </w:r>
      <w:r>
        <w:rPr/>
        <w:t>Leuconeutropnénie</w:t>
      </w:r>
    </w:p>
    <w:p>
      <w:pPr/>
      <w:r>
        <w:rPr/>
        <w:t xml:space="preserve">IDR, interféron gamma pas d’intérêt pour la tuberculose </w:t>
      </w:r>
    </w:p>
    <w:p>
      <w:pPr/>
      <w:r>
        <w:rPr/>
        <w:t xml:space="preserve">Appréciation du terrain, VIH, glycémie, protidémie, </w:t>
      </w:r>
      <w:r>
        <w:rPr/>
        <w:t>ionogramme</w:t>
      </w:r>
      <w:r>
        <w:rPr/>
        <w:t>, transaminase, acide urique, créatininémie</w:t>
      </w:r>
    </w:p>
    <w:p>
      <w:pPr>
        <w:pStyle w:val="Heading3"/>
      </w:pPr>
      <w:r>
        <w:rPr/>
        <w:t>Formes cliniques</w:t>
      </w:r>
    </w:p>
    <w:p>
      <w:pPr>
        <w:pStyle w:val="Heading4"/>
      </w:pPr>
      <w:r>
        <w:rPr/>
        <w:t>Broncho-pneumonie tuberculeuse</w:t>
      </w:r>
    </w:p>
    <w:p>
      <w:pPr/>
      <w:r>
        <w:rPr/>
        <w:t xml:space="preserve">Appelée « phtisie </w:t>
      </w:r>
      <w:r>
        <w:rPr/>
        <w:t>galopente</w:t>
      </w:r>
      <w:r>
        <w:rPr/>
        <w:t xml:space="preserve"> »</w:t>
      </w:r>
    </w:p>
    <w:p>
      <w:pPr/>
      <w:r>
        <w:rPr/>
        <w:t xml:space="preserve">Tableau de pneumonie aiguë (fièvre </w:t>
      </w:r>
      <w:r>
        <w:rPr/>
        <w:t>toux,</w:t>
      </w:r>
      <w:r>
        <w:rPr/>
        <w:t xml:space="preserve"> expectoration, dyspnée, aussi que d’une altération rapide de l’état général</w:t>
      </w:r>
    </w:p>
    <w:p>
      <w:pPr/>
      <w:r>
        <w:rPr/>
        <w:t xml:space="preserve">Radiographie du thorax : </w:t>
      </w:r>
    </w:p>
    <w:p>
      <w:pPr/>
      <w:r>
        <w:rPr/>
        <w:t xml:space="preserve">Foyers de condensation parenchymateux pouvant présenter une tonalité hétérogène évoquant </w:t>
      </w:r>
      <w:r>
        <w:rPr/>
        <w:t>la</w:t>
      </w:r>
      <w:r>
        <w:rPr/>
        <w:t xml:space="preserve"> présence d’ulcération (cavitation)</w:t>
      </w:r>
    </w:p>
    <w:p>
      <w:pPr>
        <w:pStyle w:val="Heading4"/>
      </w:pPr>
      <w:r>
        <w:rPr/>
        <w:t xml:space="preserve">Forme selon résultat crachat BAAR/ </w:t>
      </w:r>
      <w:r>
        <w:rPr/>
        <w:t>GenXpert</w:t>
      </w:r>
    </w:p>
    <w:p>
      <w:pPr>
        <w:pStyle w:val="Heading5"/>
      </w:pPr>
      <w:r>
        <w:rPr/>
        <w:t>Tuberculose bacté</w:t>
      </w:r>
      <w:r>
        <w:rPr/>
        <w:t>r</w:t>
      </w:r>
      <w:r>
        <w:rPr/>
        <w:t>iologiquement confirmés :</w:t>
      </w:r>
    </w:p>
    <w:p>
      <w:pPr/>
      <w:r>
        <w:rPr/>
        <w:t xml:space="preserve">Ou </w:t>
      </w:r>
      <w:r>
        <w:rPr/>
        <w:t>TPB(</w:t>
      </w:r>
      <w:r>
        <w:rPr/>
        <w:t>+), positivité de l’</w:t>
      </w:r>
      <w:r>
        <w:rPr/>
        <w:t>expectoration</w:t>
      </w:r>
      <w:r>
        <w:rPr/>
        <w:t xml:space="preserve"> à la microscopie sur deux </w:t>
      </w:r>
      <w:r>
        <w:rPr/>
        <w:t>échantillons</w:t>
      </w:r>
      <w:r>
        <w:rPr/>
        <w:t xml:space="preserve"> différents</w:t>
      </w:r>
    </w:p>
    <w:p>
      <w:pPr>
        <w:pStyle w:val="Heading5"/>
      </w:pPr>
      <w:r>
        <w:rPr/>
        <w:t>Tuberculose cliniquement confirmé ou TPB (-) :</w:t>
      </w:r>
    </w:p>
    <w:p>
      <w:pPr/>
      <w:r>
        <w:rPr/>
        <w:t xml:space="preserve">Sujet qui ne remplit pas les critères de confirmation </w:t>
      </w:r>
      <w:r>
        <w:rPr/>
        <w:t>bactériologique</w:t>
      </w:r>
      <w:r>
        <w:rPr/>
        <w:t xml:space="preserve">, </w:t>
      </w:r>
      <w:r>
        <w:rPr/>
        <w:t>mais</w:t>
      </w:r>
      <w:r>
        <w:rPr/>
        <w:t xml:space="preserve"> chez qui la forme évolutive a été diagnostiquée par un clinicien ou autre médecin lequel a décidé de mettre en place un traitement </w:t>
      </w:r>
      <w:r>
        <w:rPr/>
        <w:t>antituberculeux</w:t>
      </w:r>
      <w:r>
        <w:rPr/>
        <w:t xml:space="preserve"> complet </w:t>
      </w:r>
    </w:p>
    <w:p>
      <w:pPr>
        <w:pStyle w:val="Heading4"/>
      </w:pPr>
      <w:r>
        <w:rPr/>
        <w:t>Forme selon les catégories de malade</w:t>
      </w:r>
    </w:p>
    <w:p>
      <w:pPr>
        <w:pStyle w:val="Heading5"/>
      </w:pPr>
      <w:r>
        <w:rPr/>
        <w:t xml:space="preserve">Tuberculose pulmonaire nouveau cas </w:t>
      </w:r>
    </w:p>
    <w:p>
      <w:pPr/>
      <w:r>
        <w:rPr/>
        <w:t xml:space="preserve">Patient présentant </w:t>
      </w:r>
      <w:r>
        <w:rPr/>
        <w:t>une</w:t>
      </w:r>
      <w:r>
        <w:rPr/>
        <w:t xml:space="preserve"> </w:t>
      </w:r>
      <w:r>
        <w:rPr/>
        <w:t>tuberculose</w:t>
      </w:r>
      <w:r>
        <w:rPr/>
        <w:t xml:space="preserve"> pulmonaire qui n’a jamais été </w:t>
      </w:r>
      <w:r>
        <w:rPr/>
        <w:t>t</w:t>
      </w:r>
      <w:r>
        <w:rPr/>
        <w:t>raité ou qui a reçu un traitement mais moins de 30 jours</w:t>
      </w:r>
    </w:p>
    <w:p>
      <w:pPr>
        <w:pStyle w:val="Heading5"/>
      </w:pPr>
      <w:r>
        <w:rPr/>
        <w:t>Rechute</w:t>
      </w:r>
    </w:p>
    <w:p>
      <w:pPr/>
      <w:r>
        <w:rPr/>
        <w:t>Patient dont l’examen du crachat est de nouveau positif après qu’ils aient été traités et déclarés guéris à l’issu de traitement précédent</w:t>
      </w:r>
    </w:p>
    <w:p>
      <w:pPr>
        <w:pStyle w:val="Heading5"/>
      </w:pPr>
      <w:r>
        <w:rPr/>
        <w:t xml:space="preserve">Echec </w:t>
      </w:r>
    </w:p>
    <w:p>
      <w:pPr/>
      <w:r>
        <w:rPr/>
        <w:t>Patient en traitement dont les frottis son positifs au 5</w:t>
      </w:r>
      <w:r>
        <w:rPr/>
        <w:t>ème</w:t>
      </w:r>
      <w:r>
        <w:rPr/>
        <w:t xml:space="preserve"> mois ou à n’importe quel moment entre la fin du 5</w:t>
      </w:r>
      <w:r>
        <w:rPr/>
        <w:t>ème</w:t>
      </w:r>
      <w:r>
        <w:rPr/>
        <w:t xml:space="preserve"> et la date de la fin du traitement</w:t>
      </w:r>
    </w:p>
    <w:p>
      <w:pPr>
        <w:pStyle w:val="Heading5"/>
      </w:pPr>
      <w:r>
        <w:rPr/>
        <w:t xml:space="preserve">Reprise évolutive </w:t>
      </w:r>
    </w:p>
    <w:p>
      <w:pPr/>
      <w:r>
        <w:rPr/>
        <w:t xml:space="preserve">Patient qui </w:t>
      </w:r>
      <w:r>
        <w:rPr/>
        <w:t>ont</w:t>
      </w:r>
      <w:r>
        <w:rPr/>
        <w:t xml:space="preserve"> interrompu leur traitement pendant plus de 2 mois consécutifs et qui ne présentent nouveau avec un frottis positif</w:t>
      </w:r>
    </w:p>
    <w:p>
      <w:pPr>
        <w:pStyle w:val="Heading2"/>
      </w:pPr>
      <w:r>
        <w:rPr/>
        <w:t>Diagnostics</w:t>
      </w:r>
    </w:p>
    <w:p>
      <w:pPr>
        <w:pStyle w:val="Heading3"/>
      </w:pPr>
      <w:r>
        <w:rPr/>
        <w:t>Diagnostic</w:t>
      </w:r>
      <w:r>
        <w:rPr/>
        <w:t xml:space="preserve"> positif</w:t>
      </w:r>
    </w:p>
    <w:p>
      <w:pPr/>
      <w:r>
        <w:rPr/>
        <w:t xml:space="preserve">Evoqué devant </w:t>
      </w:r>
      <w:r>
        <w:rPr/>
        <w:t>les signes cliniques et radiologiques</w:t>
      </w:r>
    </w:p>
    <w:p>
      <w:pPr/>
      <w:r>
        <w:rPr/>
        <w:t xml:space="preserve">Confirmé par la positivité de la </w:t>
      </w:r>
      <w:r>
        <w:rPr/>
        <w:t>rechercher</w:t>
      </w:r>
      <w:r>
        <w:rPr/>
        <w:t xml:space="preserve"> de BAAR dans le crachat ou par le test de </w:t>
      </w:r>
      <w:r>
        <w:rPr/>
        <w:t>GenXpert</w:t>
      </w:r>
    </w:p>
    <w:p>
      <w:pPr>
        <w:pStyle w:val="Heading3"/>
      </w:pPr>
      <w:r>
        <w:rPr/>
        <w:t>Diagnostic différentiel</w:t>
      </w:r>
    </w:p>
    <w:p>
      <w:pPr>
        <w:pStyle w:val="Heading4"/>
      </w:pPr>
      <w:r>
        <w:rPr/>
        <w:t>Cancer broncho-pulmonaire</w:t>
      </w:r>
    </w:p>
    <w:p>
      <w:pPr/>
      <w:r>
        <w:rPr/>
        <w:t xml:space="preserve">Examen anatomopathologique, prélèvement biopsique (fibroscopie </w:t>
      </w:r>
      <w:r>
        <w:rPr/>
        <w:t>bronchique</w:t>
      </w:r>
      <w:r>
        <w:rPr/>
        <w:t xml:space="preserve">, EBUS, </w:t>
      </w:r>
      <w:r>
        <w:rPr/>
        <w:t>médiastinoscopie</w:t>
      </w:r>
      <w:r>
        <w:rPr/>
        <w:t>, biopsie de métastase)</w:t>
      </w:r>
    </w:p>
    <w:p>
      <w:pPr>
        <w:pStyle w:val="Heading4"/>
      </w:pPr>
      <w:r>
        <w:rPr/>
        <w:t>Infection bactérienne ou fongique</w:t>
      </w:r>
    </w:p>
    <w:p>
      <w:pPr/>
      <w:r>
        <w:rPr/>
        <w:t xml:space="preserve">Examen bactériologique (BAAR, ECBC) et anapath permet d’éliminer le diagnostic </w:t>
      </w:r>
    </w:p>
    <w:p>
      <w:pPr>
        <w:pStyle w:val="Heading4"/>
      </w:pPr>
      <w:r>
        <w:rPr/>
        <w:t>Diagnostic étiologique</w:t>
      </w:r>
      <w:r>
        <w:rPr/>
        <w:t xml:space="preserve"> </w:t>
      </w:r>
    </w:p>
    <w:p>
      <w:pPr/>
      <w:r>
        <w:rPr/>
        <w:t xml:space="preserve">Agent responsable </w:t>
      </w:r>
    </w:p>
    <w:p>
      <w:pPr>
        <w:pStyle w:val="Heading2"/>
      </w:pPr>
      <w:r>
        <w:rPr/>
        <w:t>Evolution et complication</w:t>
      </w:r>
    </w:p>
    <w:p>
      <w:pPr/>
      <w:r>
        <w:rPr/>
        <w:t xml:space="preserve">Si traitement précoce </w:t>
      </w:r>
      <w:r>
        <w:rPr/>
        <w:t>adapté</w:t>
      </w:r>
      <w:r>
        <w:rPr/>
        <w:t xml:space="preserve"> et prolongé, guérison sans </w:t>
      </w:r>
      <w:r>
        <w:rPr/>
        <w:t>séquelles</w:t>
      </w:r>
    </w:p>
    <w:p>
      <w:pPr/>
      <w:r>
        <w:rPr/>
        <w:t xml:space="preserve">Amélioration clinique avec </w:t>
      </w:r>
      <w:r>
        <w:rPr/>
        <w:t>apyrexie</w:t>
      </w:r>
      <w:r>
        <w:rPr/>
        <w:t xml:space="preserve">, en 2 semaines </w:t>
      </w:r>
    </w:p>
    <w:p>
      <w:pPr/>
      <w:r>
        <w:rPr/>
        <w:t xml:space="preserve">Amélioration </w:t>
      </w:r>
      <w:r>
        <w:rPr/>
        <w:t>radiologique</w:t>
      </w:r>
      <w:r>
        <w:rPr/>
        <w:t xml:space="preserve"> plus lente</w:t>
      </w:r>
    </w:p>
    <w:p>
      <w:pPr>
        <w:pStyle w:val="Heading3"/>
      </w:pPr>
      <w:r>
        <w:rPr/>
        <w:t>Complication précoce</w:t>
      </w:r>
      <w:r>
        <w:rPr/>
        <w:t xml:space="preserve"> </w:t>
      </w:r>
    </w:p>
    <w:p>
      <w:pPr/>
      <w:r>
        <w:rPr/>
        <w:t>Hémoptysie</w:t>
      </w:r>
      <w:r>
        <w:rPr/>
        <w:t xml:space="preserve"> </w:t>
      </w:r>
    </w:p>
    <w:p>
      <w:pPr/>
      <w:r>
        <w:rPr/>
        <w:t>Pleurésie ou pneumothorax</w:t>
      </w:r>
    </w:p>
    <w:p>
      <w:pPr/>
      <w:r>
        <w:rPr/>
        <w:t>Pyothorax</w:t>
      </w:r>
    </w:p>
    <w:p>
      <w:pPr>
        <w:pStyle w:val="Heading3"/>
      </w:pPr>
      <w:r>
        <w:rPr/>
        <w:t>Diffusion</w:t>
      </w:r>
      <w:r>
        <w:rPr/>
        <w:t xml:space="preserve"> de la maladie</w:t>
      </w:r>
    </w:p>
    <w:p>
      <w:pPr/>
      <w:r>
        <w:rPr/>
        <w:t>Dissémination</w:t>
      </w:r>
      <w:r>
        <w:rPr/>
        <w:t xml:space="preserve"> hématogène avec forme extra-pulmonaire</w:t>
      </w:r>
    </w:p>
    <w:p>
      <w:pPr/>
      <w:r>
        <w:rPr/>
        <w:t>Dissémination</w:t>
      </w:r>
      <w:r>
        <w:rPr/>
        <w:t xml:space="preserve"> </w:t>
      </w:r>
      <w:r>
        <w:rPr/>
        <w:t>bronchique</w:t>
      </w:r>
      <w:r>
        <w:rPr/>
        <w:t xml:space="preserve"> avec atteinte bilatérale sévère </w:t>
      </w:r>
    </w:p>
    <w:p>
      <w:pPr>
        <w:pStyle w:val="Heading4"/>
      </w:pPr>
      <w:r>
        <w:rPr/>
        <w:t xml:space="preserve">Complication survenant sur des séquelles tuberculeuses </w:t>
      </w:r>
    </w:p>
    <w:p>
      <w:pPr/>
      <w:r>
        <w:rPr/>
        <w:t xml:space="preserve">Hémoptysie </w:t>
      </w:r>
    </w:p>
    <w:p>
      <w:pPr/>
      <w:r>
        <w:rPr/>
        <w:t xml:space="preserve">Greffe aspergillaire d’une </w:t>
      </w:r>
      <w:r>
        <w:rPr/>
        <w:t>caverne</w:t>
      </w:r>
      <w:r>
        <w:rPr/>
        <w:t>, sérologie aspergillaire positive</w:t>
      </w:r>
    </w:p>
    <w:p>
      <w:pPr/>
      <w:r>
        <w:rPr/>
        <w:t xml:space="preserve">Dilatation de bronche localisée </w:t>
      </w:r>
    </w:p>
    <w:p>
      <w:pPr/>
      <w:r>
        <w:rPr/>
        <w:t xml:space="preserve">Cancer broncho-pulmonaire sur cicatrice tuberculeuse </w:t>
      </w:r>
    </w:p>
    <w:p>
      <w:pPr/>
      <w:r>
        <w:rPr/>
        <w:t xml:space="preserve">Insuffisance </w:t>
      </w:r>
      <w:r>
        <w:rPr/>
        <w:t>respiratoire restrictive</w:t>
      </w:r>
    </w:p>
    <w:p>
      <w:pPr>
        <w:pStyle w:val="Heading4"/>
      </w:pPr>
      <w:r>
        <w:rPr/>
        <w:t xml:space="preserve">Récidive </w:t>
      </w:r>
    </w:p>
    <w:p>
      <w:pPr/>
      <w:r>
        <w:rPr/>
        <w:t xml:space="preserve">Peuvent se faire suite à : </w:t>
      </w:r>
      <w:r>
        <w:rPr/>
        <w:tab/>
      </w:r>
    </w:p>
    <w:p>
      <w:pPr/>
      <w:r>
        <w:rPr/>
        <w:t xml:space="preserve">Un traitement incorrect </w:t>
      </w:r>
    </w:p>
    <w:p>
      <w:pPr/>
      <w:r>
        <w:rPr/>
        <w:t>Une réinfection exogène (</w:t>
      </w:r>
      <w:r>
        <w:rPr/>
        <w:t>persistance</w:t>
      </w:r>
      <w:r>
        <w:rPr/>
        <w:t xml:space="preserve"> de facte</w:t>
      </w:r>
      <w:r>
        <w:rPr/>
        <w:t>u</w:t>
      </w:r>
      <w:r>
        <w:rPr/>
        <w:t>r de risque)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