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ANOMALIES DE REGRESSION DU CANAL PERITONEO VAGINAL</w:t>
      </w:r>
    </w:p>
    <w:p>
      <w:pPr>
        <w:ind w:left="1800"/>
      </w:pPr>
    </w:p>
    <w:p>
      <w:pPr>
        <w:pStyle w:val="Heading2"/>
      </w:pPr>
      <w:r>
        <w:rPr/>
        <w:t>INTRODUCTION</w:t>
      </w:r>
    </w:p>
    <w:p>
      <w:pPr>
        <w:numPr>
          <w:ilvl w:val="0"/>
          <w:numId w:val="55"/>
        </w:numPr>
      </w:pPr>
      <w:r>
        <w:rPr/>
        <w:t>La formation du CPV est en relation intime avec la migration testiculaire</w:t>
      </w:r>
    </w:p>
    <w:p>
      <w:pPr>
        <w:numPr>
          <w:ilvl w:val="0"/>
          <w:numId w:val="55"/>
        </w:numPr>
      </w:pPr>
      <w:r>
        <w:rPr/>
        <w:t xml:space="preserve">C'est une structure transitoire (involution naturelle spontanée) </w:t>
      </w:r>
    </w:p>
    <w:p>
      <w:pPr>
        <w:numPr>
          <w:ilvl w:val="0"/>
          <w:numId w:val="55"/>
        </w:numPr>
      </w:pPr>
      <w:r>
        <w:rPr/>
        <w:t>Son défaut de régression plus ou moins complet est le support anatomique de la hernie inguinale, de l'hydrocèle vaginale et du kyste du cordon</w:t>
      </w:r>
    </w:p>
    <w:p>
      <w:pPr>
        <w:ind w:left="180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