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HERNIE HIATALE ET REFLUX GASTRO-OESOPHAGIEN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 xml:space="preserve">Hernie hiatale : passage d'une partie de l'estomac dans le thorax à </w:t>
      </w:r>
      <w:r>
        <w:rPr>
          <w:rFonts w:ascii="Times New Roman" w:hAnsi="Times New Roman"/>
        </w:rPr>
        <w:t>traver</w:t>
      </w:r>
      <w:r>
        <w:rPr>
          <w:rFonts w:ascii="Times New Roman" w:hAnsi="Times New Roman"/>
        </w:rPr>
        <w:t xml:space="preserve"> l'orifice hiatale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Phénomène anatomopathologique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 xml:space="preserve">Reflux </w:t>
      </w:r>
      <w:r>
        <w:rPr>
          <w:rFonts w:ascii="Times New Roman" w:hAnsi="Times New Roman"/>
        </w:rPr>
        <w:t>gastro-œsophagien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RGO) :</w:t>
      </w:r>
      <w:r>
        <w:rPr>
          <w:rFonts w:ascii="Times New Roman" w:hAnsi="Times New Roman"/>
        </w:rPr>
        <w:t xml:space="preserve"> passage permanente ou intermittente d'une partie du contenu gastrique dans l'</w:t>
      </w:r>
      <w:r>
        <w:rPr>
          <w:rFonts w:ascii="Times New Roman" w:hAnsi="Times New Roman"/>
        </w:rPr>
        <w:t>œsophage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 xml:space="preserve">Phénomène physiopathologique 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>RGO : passage à travers le cardia d'une partie du contenu gastrique vers l'</w:t>
      </w:r>
      <w:r>
        <w:rPr>
          <w:rFonts w:ascii="Times New Roman" w:hAnsi="Times New Roman"/>
        </w:rPr>
        <w:t>œsophage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 xml:space="preserve">D'une extrême fréquence chez le nourrisson, son expression clinique s'étend des régurgitations les plus banales (même si elles peuvent être très abondantes), 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Aux complications les plus sévères (</w:t>
      </w:r>
      <w:r>
        <w:rPr>
          <w:rFonts w:ascii="Times New Roman" w:hAnsi="Times New Roman"/>
        </w:rPr>
        <w:t>œsophagite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 xml:space="preserve">Ou inattendues (laryngites à répétition, troubles du sommeil). 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Diagnostic +/- difficile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</w:p>
    <w:p>
      <w:pPr>
        <w:pStyle w:val="Heading3"/>
      </w:pPr>
      <w:r>
        <w:rPr/>
        <w:t>ETIOLOGIE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 xml:space="preserve">Très fréquent : physiologique ??? 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RGO non compliqué : 3 à 5 fois par heure chez le prématuré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A 1 mois, écho symptomatique le retrouve sur 9 nourrissons sur 10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Avant 1 an : 50% des nourrissons présentent des régurgitations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RGO pathologique :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 xml:space="preserve">Avant 1 an : 1 </w:t>
      </w:r>
      <w:r>
        <w:rPr>
          <w:rFonts w:ascii="Times New Roman" w:hAnsi="Times New Roman"/>
        </w:rPr>
        <w:t>nourrisson</w:t>
      </w:r>
      <w:r>
        <w:rPr>
          <w:rFonts w:ascii="Times New Roman" w:hAnsi="Times New Roman"/>
        </w:rPr>
        <w:t xml:space="preserve"> pour 300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Entre 1 an et 5 ans : 8%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Aux USA : responsable de 4% des hospitalisations en pédiatrie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Hérédité du RGO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Existence de familles à RGO</w:t>
      </w:r>
    </w:p>
    <w:p>
      <w:pPr>
        <w:numPr>
          <w:ilvl w:val="1"/>
          <w:numId w:val="27"/>
        </w:numPr>
      </w:pPr>
      <w:r>
        <w:rPr>
          <w:rFonts w:ascii="Times New Roman" w:hAnsi="Times New Roman"/>
        </w:rPr>
        <w:t>1 gène responsable de forme sévère chez l'enfant : GERD 1 localisé sur le Chromosome 13q14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Incompétence de la jonction oeso-gastrique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Physiologiquement :</w:t>
      </w:r>
      <w:r>
        <w:rPr>
          <w:rFonts w:ascii="Times New Roman" w:hAnsi="Times New Roman"/>
        </w:rPr>
        <w:t xml:space="preserve"> 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Cardia est le siège d'un tonus puissant responsable d'une "étanchéité" correcte de ce "sphincter" inférieur de l'</w:t>
      </w:r>
      <w:r>
        <w:rPr>
          <w:rFonts w:ascii="Times New Roman" w:hAnsi="Times New Roman"/>
        </w:rPr>
        <w:t>œsophage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Au moment de la déglutition, le SIO subit une relaxation qui permet au bol alimentaire de franchir le cardia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 xml:space="preserve">RGO </w:t>
      </w:r>
      <w:r>
        <w:rPr>
          <w:rFonts w:ascii="Times New Roman" w:hAnsi="Times New Roman"/>
        </w:rPr>
        <w:t>pathologique :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Relaxations transitoires et inappropriée du SIO, en dehors de la déglutition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Soit à une hypotonie permanente du SIO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 xml:space="preserve">Cette incompétence du SIO </w:t>
      </w:r>
      <w:r>
        <w:rPr>
          <w:rFonts w:ascii="Times New Roman" w:hAnsi="Times New Roman"/>
        </w:rPr>
        <w:t>est-elle</w:t>
      </w:r>
      <w:r>
        <w:rPr>
          <w:rFonts w:ascii="Times New Roman" w:hAnsi="Times New Roman"/>
        </w:rPr>
        <w:t xml:space="preserve"> même secondaire :</w:t>
      </w:r>
    </w:p>
    <w:p>
      <w:pPr>
        <w:numPr>
          <w:ilvl w:val="3"/>
          <w:numId w:val="29"/>
        </w:numPr>
      </w:pPr>
      <w:r>
        <w:rPr>
          <w:rFonts w:ascii="Times New Roman" w:hAnsi="Times New Roman"/>
        </w:rPr>
        <w:t>À une immaturité du tonus sphinctérien</w:t>
      </w:r>
    </w:p>
    <w:p>
      <w:pPr>
        <w:numPr>
          <w:ilvl w:val="3"/>
          <w:numId w:val="29"/>
        </w:numPr>
      </w:pPr>
      <w:r>
        <w:rPr>
          <w:rFonts w:ascii="Times New Roman" w:hAnsi="Times New Roman"/>
        </w:rPr>
        <w:t>À une anomalie anatomique : malposition cardio-tubérositaire ou hernie hiatale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Agressivité du liquide gastrique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 xml:space="preserve">La muqueuse </w:t>
      </w:r>
      <w:r>
        <w:rPr>
          <w:rFonts w:ascii="Times New Roman" w:hAnsi="Times New Roman"/>
        </w:rPr>
        <w:t>œsophagienne</w:t>
      </w:r>
      <w:r>
        <w:rPr>
          <w:rFonts w:ascii="Times New Roman" w:hAnsi="Times New Roman"/>
        </w:rPr>
        <w:t xml:space="preserve"> tolère très mal deux sécrétions </w:t>
      </w:r>
      <w:r>
        <w:rPr>
          <w:rFonts w:ascii="Times New Roman" w:hAnsi="Times New Roman"/>
        </w:rPr>
        <w:t>gastriques :</w:t>
      </w:r>
      <w:r>
        <w:rPr>
          <w:rFonts w:ascii="Times New Roman" w:hAnsi="Times New Roman"/>
        </w:rPr>
        <w:t xml:space="preserve"> l'acidité et la pepsine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Sensibilité variable, d'où la grande majorité des RGO est bien tolérée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En fonction de la qualité du contenu gastrique, RGO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Liquide, solide, gazeux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Acide ou non acide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Anomalie de la vidange gastrique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 xml:space="preserve">Le spasme pylorique, peut, chez certains patients, créer ou aggraver un RGO par augmentation du gradient de pression </w:t>
      </w:r>
      <w:r>
        <w:rPr>
          <w:rFonts w:ascii="Times New Roman" w:hAnsi="Times New Roman"/>
        </w:rPr>
        <w:t>gastro-œsophagienne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  <w:b/>
        </w:rPr>
        <w:t>RGO et allergie alimentaire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Intolérance aux protéines du lait de vache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Vomissements ou régurgitations</w:t>
      </w:r>
    </w:p>
    <w:p>
      <w:pPr>
        <w:numPr>
          <w:ilvl w:val="2"/>
          <w:numId w:val="29"/>
        </w:numPr>
      </w:pPr>
      <w:r>
        <w:rPr>
          <w:rFonts w:ascii="Times New Roman" w:hAnsi="Times New Roman"/>
        </w:rPr>
        <w:t>Cassure pondérale puis de la courbe staturale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Certaines poussées de RGO pourraient être déclenchées par une IPLV</w:t>
      </w:r>
    </w:p>
    <w:p>
      <w:pPr>
        <w:numPr>
          <w:ilvl w:val="1"/>
          <w:numId w:val="29"/>
        </w:numPr>
      </w:pPr>
      <w:r>
        <w:rPr>
          <w:rFonts w:ascii="Times New Roman" w:hAnsi="Times New Roman"/>
        </w:rPr>
        <w:t>Il n'est pas exclu que le RGO pourrait être un facteur de sensibilisation aux PLV</w:t>
      </w:r>
    </w:p>
    <w:p>
      <w:pPr/>
    </w:p>
    <w:p>
      <w:pPr/>
      <w:r>
        <w:rPr>
          <w:rFonts w:ascii="Times New Roman" w:hAnsi="Times New Roman"/>
          <w:b/>
        </w:rPr>
        <w:t xml:space="preserve">Comment expliquer le RGO aux parents 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RGO =remontée du contenu gastrique dans l'</w:t>
      </w:r>
      <w:r>
        <w:rPr>
          <w:rFonts w:ascii="Times New Roman" w:hAnsi="Times New Roman"/>
        </w:rPr>
        <w:t>œsophage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Entraînant régurgitations et vomissement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Survenue avant 3 mois, favorisé par la position allongée et l'alimentation liquide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Lié à une immaturité du cardia et à une faible capacité gastrique chez le nourrisson, favorisant le Trop plein et le Reflux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Présent chez environ la moitié des enfants lors des 3 premiers mois de vie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</w:p>
    <w:p>
      <w:pPr>
        <w:pStyle w:val="Heading2"/>
      </w:pPr>
      <w:r>
        <w:rPr/>
        <w:t>TECHNIQUES D'EXPLORATION</w:t>
      </w:r>
    </w:p>
    <w:p>
      <w:pPr/>
      <w:r>
        <w:rPr>
          <w:rFonts w:ascii="Times New Roman" w:hAnsi="Times New Roman"/>
        </w:rPr>
        <w:t xml:space="preserve"> Si présence de signes </w:t>
      </w:r>
      <w:r>
        <w:rPr>
          <w:rFonts w:ascii="Times New Roman" w:hAnsi="Times New Roman"/>
        </w:rPr>
        <w:t>cliniques :</w:t>
      </w:r>
    </w:p>
    <w:p>
      <w:pPr/>
      <w:r>
        <w:rPr>
          <w:rFonts w:ascii="Times New Roman" w:hAnsi="Times New Roman"/>
        </w:rPr>
        <w:t>5 techniques courantes d'exploration du RGO</w:t>
      </w:r>
    </w:p>
    <w:p>
      <w:pPr>
        <w:numPr>
          <w:ilvl w:val="0"/>
          <w:numId w:val="31"/>
        </w:numPr>
      </w:pPr>
      <w:r>
        <w:rPr>
          <w:rFonts w:ascii="Times New Roman" w:hAnsi="Times New Roman"/>
          <w:b/>
        </w:rPr>
        <w:t>L'échographie post-prandiale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Explore le RGO à estomac plein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Permet de</w:t>
      </w:r>
      <w:r>
        <w:rPr>
          <w:rFonts w:ascii="Times New Roman" w:hAnsi="Times New Roman"/>
        </w:rPr>
        <w:t xml:space="preserve"> :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Visualiser le cardia (béance) 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Voir les reflux et de quantifier leur nombre et leur importance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Et d'apprécier leur retentissement éventuel sur l'enfant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Non invasif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Facile à mettre en </w:t>
      </w:r>
      <w:r>
        <w:rPr>
          <w:rFonts w:ascii="Times New Roman" w:hAnsi="Times New Roman"/>
        </w:rPr>
        <w:t>œuvre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Demande un examinateur expérimenté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N'explore que les RGO à estomac plein</w:t>
      </w:r>
    </w:p>
    <w:p>
      <w:pPr/>
      <w:r>
        <w:rPr>
          <w:rFonts w:ascii="Times New Roman" w:hAnsi="Times New Roman"/>
        </w:rPr>
        <w:t xml:space="preserve">Examen limité dans le temps (30 minutes) 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Fiabilité incertaine avant 4 à 5 mois</w:t>
      </w:r>
    </w:p>
    <w:p>
      <w:pPr>
        <w:numPr>
          <w:ilvl w:val="0"/>
          <w:numId w:val="31"/>
        </w:numPr>
      </w:pPr>
      <w:r>
        <w:rPr>
          <w:rFonts w:ascii="Times New Roman" w:hAnsi="Times New Roman"/>
          <w:b/>
        </w:rPr>
        <w:t>Radio du TOGD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Visualise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Le cardia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RGO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Cinétique </w:t>
      </w:r>
      <w:r>
        <w:rPr>
          <w:rFonts w:ascii="Times New Roman" w:hAnsi="Times New Roman"/>
        </w:rPr>
        <w:t>oesophagienne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Vidange gastrique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Avantages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Peu invasif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Facile à mettre en </w:t>
      </w:r>
      <w:r>
        <w:rPr>
          <w:rFonts w:ascii="Times New Roman" w:hAnsi="Times New Roman"/>
        </w:rPr>
        <w:t>oeuvre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Peut se pratiquer à tout âge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Nécessite observateur expérimenté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N'explore que les RGO à estomac plein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Examen limité dans le temps (30 minutes) 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Fiabilité incertaine avant 4 à 5 mois</w:t>
      </w:r>
    </w:p>
    <w:p>
      <w:pPr>
        <w:numPr>
          <w:ilvl w:val="0"/>
          <w:numId w:val="31"/>
        </w:numPr>
      </w:pPr>
      <w:r>
        <w:rPr>
          <w:rFonts w:ascii="Times New Roman" w:hAnsi="Times New Roman"/>
          <w:b/>
        </w:rPr>
        <w:t xml:space="preserve">Endoscopie </w:t>
      </w:r>
      <w:r>
        <w:rPr>
          <w:rFonts w:ascii="Times New Roman" w:hAnsi="Times New Roman"/>
          <w:b/>
        </w:rPr>
        <w:t>oesophagienne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Diag de l'</w:t>
      </w:r>
      <w:r>
        <w:rPr>
          <w:rFonts w:ascii="Times New Roman" w:hAnsi="Times New Roman"/>
        </w:rPr>
        <w:t>oesophagite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Très invasif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Avantages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Permet d'attribuer formellement l'agitation de l'enfant à l'</w:t>
      </w:r>
      <w:r>
        <w:rPr>
          <w:rFonts w:ascii="Times New Roman" w:hAnsi="Times New Roman"/>
        </w:rPr>
        <w:t>oesophagite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Inconvénient :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Invasif et non physiologique (AG et CE) </w:t>
      </w:r>
    </w:p>
    <w:p>
      <w:pPr>
        <w:numPr>
          <w:ilvl w:val="0"/>
          <w:numId w:val="31"/>
        </w:numPr>
      </w:pPr>
      <w:r>
        <w:rPr>
          <w:rFonts w:ascii="Times New Roman" w:hAnsi="Times New Roman"/>
          <w:b/>
        </w:rPr>
        <w:t>pH</w:t>
      </w:r>
      <w:r>
        <w:rPr>
          <w:rFonts w:ascii="Times New Roman" w:hAnsi="Times New Roman"/>
          <w:b/>
        </w:rPr>
        <w:t>métrie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œsophagienne</w:t>
      </w:r>
      <w:r>
        <w:rPr>
          <w:rFonts w:ascii="Times New Roman" w:hAnsi="Times New Roman"/>
          <w:b/>
        </w:rPr>
        <w:t xml:space="preserve"> 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Évaluation quantitative des reflux acides et d'en préciser les horaires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Enregistrement continu du pH pendant 20 à 24 heures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Avantages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Applicable à tout âge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Peu invasif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Complète l'imagerie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Précise la concordance entre les épisodes de reflux acide et la </w:t>
      </w:r>
      <w:r>
        <w:rPr>
          <w:rFonts w:ascii="Times New Roman" w:hAnsi="Times New Roman"/>
        </w:rPr>
        <w:t>symptomatologie (</w:t>
      </w:r>
      <w:r>
        <w:rPr>
          <w:rFonts w:ascii="Times New Roman" w:hAnsi="Times New Roman"/>
        </w:rPr>
        <w:t xml:space="preserve">troubles du sommeil) 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Inconvénients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N'explore que les reflux acides (estomac vide) 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Nécessite la plupart du temps une hospitalisation</w:t>
      </w:r>
    </w:p>
    <w:p>
      <w:pPr>
        <w:numPr>
          <w:ilvl w:val="0"/>
          <w:numId w:val="31"/>
        </w:numPr>
      </w:pPr>
      <w:r>
        <w:rPr>
          <w:rFonts w:ascii="Times New Roman" w:hAnsi="Times New Roman"/>
          <w:b/>
        </w:rPr>
        <w:t xml:space="preserve">La manométrie </w:t>
      </w:r>
      <w:r>
        <w:rPr>
          <w:rFonts w:ascii="Times New Roman" w:hAnsi="Times New Roman"/>
          <w:b/>
        </w:rPr>
        <w:t>œsophagienne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Permet d'</w:t>
      </w:r>
      <w:r>
        <w:rPr>
          <w:rFonts w:ascii="Times New Roman" w:hAnsi="Times New Roman"/>
        </w:rPr>
        <w:t>explorer</w:t>
      </w:r>
      <w:r>
        <w:rPr>
          <w:rFonts w:ascii="Times New Roman" w:hAnsi="Times New Roman"/>
        </w:rPr>
        <w:t xml:space="preserve"> la dynamique de l'</w:t>
      </w:r>
      <w:r>
        <w:rPr>
          <w:rFonts w:ascii="Times New Roman" w:hAnsi="Times New Roman"/>
        </w:rPr>
        <w:t>œsophage</w:t>
      </w:r>
      <w:r>
        <w:rPr>
          <w:rFonts w:ascii="Times New Roman" w:hAnsi="Times New Roman"/>
        </w:rPr>
        <w:t xml:space="preserve"> (en particulier le fonctionnement du couple SIO-SSO 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Technique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Introduction par voie nasale d'un capteur de pression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Recueil des pressions </w:t>
      </w:r>
      <w:r>
        <w:rPr>
          <w:rFonts w:ascii="Times New Roman" w:hAnsi="Times New Roman"/>
        </w:rPr>
        <w:t>œsophagiennes</w:t>
      </w:r>
      <w:r>
        <w:rPr>
          <w:rFonts w:ascii="Times New Roman" w:hAnsi="Times New Roman"/>
        </w:rPr>
        <w:t xml:space="preserve"> et en particulier du SIO et du SSO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Avantages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Examen bref et peu invasif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 xml:space="preserve">Permet de mettre en évidence les asynchronismes </w:t>
      </w:r>
      <w:r>
        <w:rPr>
          <w:rFonts w:ascii="Times New Roman" w:hAnsi="Times New Roman"/>
        </w:rPr>
        <w:t>œsophagiens</w:t>
      </w:r>
      <w:r>
        <w:rPr>
          <w:rFonts w:ascii="Times New Roman" w:hAnsi="Times New Roman"/>
        </w:rPr>
        <w:t xml:space="preserve"> nécessitant des traitements </w:t>
      </w:r>
      <w:r>
        <w:rPr>
          <w:rFonts w:ascii="Times New Roman" w:hAnsi="Times New Roman"/>
        </w:rPr>
        <w:t>antispasmodiques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Inconvénients :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Technique peu répandue</w:t>
      </w:r>
    </w:p>
    <w:p>
      <w:pPr/>
    </w:p>
    <w:p>
      <w:pPr>
        <w:pStyle w:val="Heading2"/>
      </w:pPr>
      <w:r>
        <w:rPr/>
        <w:t>MOYENS THERAPEUTIQUES</w:t>
      </w:r>
    </w:p>
    <w:p>
      <w:pPr>
        <w:numPr>
          <w:ilvl w:val="0"/>
          <w:numId w:val="32"/>
        </w:numPr>
      </w:pPr>
      <w:r>
        <w:rPr>
          <w:rFonts w:ascii="Times New Roman" w:hAnsi="Times New Roman"/>
          <w:b/>
        </w:rPr>
        <w:t>Mesures hygiéno-diététiques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Posture :</w:t>
      </w:r>
      <w:r>
        <w:rPr>
          <w:rFonts w:ascii="Times New Roman" w:hAnsi="Times New Roman"/>
        </w:rPr>
        <w:t xml:space="preserve"> proclive dorsale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Diététique :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Eviter la suralimentation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Fractionnement des repas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Épaississement du Lait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 xml:space="preserve">IPLV ? 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Eviter les aliments acides</w:t>
      </w:r>
    </w:p>
    <w:p>
      <w:pPr>
        <w:numPr>
          <w:ilvl w:val="0"/>
          <w:numId w:val="32"/>
        </w:numPr>
      </w:pPr>
      <w:r>
        <w:rPr>
          <w:rFonts w:ascii="Times New Roman" w:hAnsi="Times New Roman"/>
          <w:b/>
        </w:rPr>
        <w:t>Traitement médical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 xml:space="preserve">Les </w:t>
      </w:r>
      <w:r>
        <w:rPr>
          <w:rFonts w:ascii="Times New Roman" w:hAnsi="Times New Roman"/>
        </w:rPr>
        <w:t>prokinétiques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  <w:b/>
          <w:sz w:val="26"/>
        </w:rPr>
        <w:t>Dompéridone (</w:t>
      </w:r>
      <w:r>
        <w:rPr>
          <w:rFonts w:ascii="Times New Roman" w:hAnsi="Times New Roman"/>
          <w:b/>
          <w:sz w:val="26"/>
        </w:rPr>
        <w:t>Motilium</w:t>
      </w:r>
      <w:r>
        <w:rPr>
          <w:rFonts w:ascii="Times New Roman" w:hAnsi="Times New Roman"/>
          <w:b/>
          <w:sz w:val="26"/>
        </w:rPr>
        <w:t xml:space="preserve">* </w:t>
      </w:r>
      <w:r>
        <w:rPr>
          <w:rFonts w:ascii="Times New Roman" w:hAnsi="Times New Roman"/>
          <w:b/>
          <w:sz w:val="26"/>
        </w:rPr>
        <w:t>Péridys</w:t>
      </w:r>
      <w:r>
        <w:rPr>
          <w:rFonts w:ascii="Times New Roman" w:hAnsi="Times New Roman"/>
          <w:b/>
          <w:sz w:val="26"/>
        </w:rPr>
        <w:t xml:space="preserve">*) </w:t>
      </w:r>
    </w:p>
    <w:p>
      <w:pPr>
        <w:numPr>
          <w:ilvl w:val="3"/>
          <w:numId w:val="32"/>
        </w:numPr>
      </w:pPr>
      <w:r>
        <w:rPr>
          <w:rFonts w:ascii="Times New Roman" w:hAnsi="Times New Roman"/>
          <w:b/>
          <w:sz w:val="26"/>
        </w:rPr>
        <w:t>0,75 mg/kg/24h = 0,75 ml/kg/24h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En première intention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Efficacité</w:t>
      </w:r>
      <w:r>
        <w:rPr>
          <w:rFonts w:ascii="Times New Roman" w:hAnsi="Times New Roman"/>
        </w:rPr>
        <w:t xml:space="preserve"> : 50%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Cisapride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Prepulsid</w:t>
      </w:r>
      <w:r>
        <w:rPr>
          <w:rFonts w:ascii="Times New Roman" w:hAnsi="Times New Roman"/>
        </w:rPr>
        <w:t xml:space="preserve">) 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0,80mg/kg/24h = 0,8ml/kg/24h sans dépasser 40mg/24h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Restriction de prescription : médicale hospitalière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Vérification espace QT à l'ECG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Vérifier la kaliémie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 xml:space="preserve">Les </w:t>
      </w:r>
      <w:r>
        <w:rPr>
          <w:rFonts w:ascii="Times New Roman" w:hAnsi="Times New Roman"/>
        </w:rPr>
        <w:t>antispasmodiques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Indications rares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Hypertonie antrale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Hypertonie SIO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Indication difficile car il n'existe pas de spécialité thérapeutique adaptées</w:t>
      </w:r>
    </w:p>
    <w:p>
      <w:pPr>
        <w:numPr>
          <w:ilvl w:val="4"/>
          <w:numId w:val="32"/>
        </w:numPr>
      </w:pPr>
      <w:r>
        <w:rPr>
          <w:rFonts w:ascii="Times New Roman" w:hAnsi="Times New Roman"/>
        </w:rPr>
        <w:t>Atropine</w:t>
      </w:r>
    </w:p>
    <w:p>
      <w:pPr>
        <w:numPr>
          <w:ilvl w:val="4"/>
          <w:numId w:val="32"/>
        </w:numPr>
      </w:pPr>
      <w:r>
        <w:rPr>
          <w:rFonts w:ascii="Times New Roman" w:hAnsi="Times New Roman"/>
        </w:rPr>
        <w:t>A l'étude</w:t>
      </w:r>
    </w:p>
    <w:p>
      <w:pPr>
        <w:numPr>
          <w:ilvl w:val="5"/>
          <w:numId w:val="32"/>
        </w:numPr>
      </w:pPr>
      <w:r>
        <w:rPr>
          <w:rFonts w:ascii="Times New Roman" w:hAnsi="Times New Roman"/>
        </w:rPr>
        <w:t>Bétanéchol</w:t>
      </w:r>
    </w:p>
    <w:p>
      <w:pPr>
        <w:numPr>
          <w:ilvl w:val="5"/>
          <w:numId w:val="32"/>
        </w:numPr>
      </w:pPr>
      <w:r>
        <w:rPr>
          <w:rFonts w:ascii="Times New Roman" w:hAnsi="Times New Roman"/>
        </w:rPr>
        <w:t>Baclofène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 xml:space="preserve">Les pansements </w:t>
      </w:r>
      <w:r>
        <w:rPr>
          <w:rFonts w:ascii="Times New Roman" w:hAnsi="Times New Roman"/>
        </w:rPr>
        <w:t>œsophagiens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 xml:space="preserve">Gaviscon, </w:t>
      </w:r>
      <w:r>
        <w:rPr>
          <w:rFonts w:ascii="Times New Roman" w:hAnsi="Times New Roman"/>
        </w:rPr>
        <w:t>phosphalugel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smecta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polysylane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topaal</w:t>
      </w:r>
      <w:r>
        <w:rPr>
          <w:rFonts w:ascii="Times New Roman" w:hAnsi="Times New Roman"/>
        </w:rPr>
        <w:t xml:space="preserve">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à donner après le repas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 xml:space="preserve">Les </w:t>
      </w:r>
      <w:r>
        <w:rPr>
          <w:rFonts w:ascii="Times New Roman" w:hAnsi="Times New Roman"/>
        </w:rPr>
        <w:t>antisécrétoires</w:t>
      </w:r>
      <w:r>
        <w:rPr>
          <w:rFonts w:ascii="Times New Roman" w:hAnsi="Times New Roman"/>
        </w:rPr>
        <w:t xml:space="preserve"> gastriques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Les antihistaminiques H2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 xml:space="preserve">Ranitidine (AZANTAC, RANIPLEX) </w:t>
      </w:r>
    </w:p>
    <w:p>
      <w:pPr>
        <w:numPr>
          <w:ilvl w:val="4"/>
          <w:numId w:val="32"/>
        </w:numPr>
      </w:pPr>
      <w:r>
        <w:rPr>
          <w:rFonts w:ascii="Times New Roman" w:hAnsi="Times New Roman"/>
        </w:rPr>
        <w:t>3mg à 6mg/kg/24h en deux prises quotidiennes</w:t>
      </w:r>
    </w:p>
    <w:p>
      <w:pPr>
        <w:numPr>
          <w:ilvl w:val="4"/>
          <w:numId w:val="32"/>
        </w:numPr>
      </w:pPr>
      <w:r>
        <w:rPr>
          <w:rFonts w:ascii="Times New Roman" w:hAnsi="Times New Roman"/>
        </w:rPr>
        <w:t xml:space="preserve">Pas de présentation adaptée au </w:t>
      </w:r>
      <w:r>
        <w:rPr>
          <w:rFonts w:ascii="Times New Roman" w:hAnsi="Times New Roman"/>
        </w:rPr>
        <w:t>nourrisson :</w:t>
      </w:r>
      <w:r>
        <w:rPr>
          <w:rFonts w:ascii="Times New Roman" w:hAnsi="Times New Roman"/>
        </w:rPr>
        <w:t xml:space="preserve"> utiliser la présentation injectable : 2ml=50mg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Les IPP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 xml:space="preserve">Les </w:t>
      </w:r>
      <w:r>
        <w:rPr>
          <w:rFonts w:ascii="Times New Roman" w:hAnsi="Times New Roman"/>
        </w:rPr>
        <w:t>antisécrétoires</w:t>
      </w:r>
      <w:r>
        <w:rPr>
          <w:rFonts w:ascii="Times New Roman" w:hAnsi="Times New Roman"/>
        </w:rPr>
        <w:t xml:space="preserve"> gastriques n'ont pas d'effet </w:t>
      </w:r>
      <w:r>
        <w:rPr>
          <w:rFonts w:ascii="Times New Roman" w:hAnsi="Times New Roman"/>
        </w:rPr>
        <w:t>prokinétiques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1mg/kg/24h</w:t>
      </w:r>
    </w:p>
    <w:p>
      <w:pPr>
        <w:numPr>
          <w:ilvl w:val="4"/>
          <w:numId w:val="32"/>
        </w:numPr>
      </w:pPr>
      <w:r>
        <w:rPr>
          <w:rFonts w:ascii="Times New Roman" w:hAnsi="Times New Roman"/>
        </w:rPr>
        <w:t>Omeprazole</w:t>
      </w:r>
      <w:r>
        <w:rPr>
          <w:rFonts w:ascii="Times New Roman" w:hAnsi="Times New Roman"/>
        </w:rPr>
        <w:t xml:space="preserve"> : 1 prise quotidienne vespérale </w:t>
      </w:r>
    </w:p>
    <w:p>
      <w:pPr>
        <w:numPr>
          <w:ilvl w:val="4"/>
          <w:numId w:val="32"/>
        </w:numPr>
      </w:pPr>
      <w:r>
        <w:rPr>
          <w:rFonts w:ascii="Times New Roman" w:hAnsi="Times New Roman"/>
        </w:rPr>
        <w:t>Pas de présentation adaptée au nourrisson : ouvrir la gélule à 10mg</w:t>
      </w:r>
    </w:p>
    <w:p>
      <w:pPr>
        <w:numPr>
          <w:ilvl w:val="4"/>
          <w:numId w:val="32"/>
        </w:numPr>
      </w:pPr>
      <w:r>
        <w:rPr>
          <w:rFonts w:ascii="Times New Roman" w:hAnsi="Times New Roman"/>
        </w:rPr>
        <w:t>AMM à partir de 1 an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Esoméprazole : Inexium sachets pédiatriques 10mg</w:t>
      </w:r>
    </w:p>
    <w:p>
      <w:pPr>
        <w:numPr>
          <w:ilvl w:val="3"/>
          <w:numId w:val="32"/>
        </w:numPr>
      </w:pPr>
      <w:r>
        <w:rPr>
          <w:rFonts w:ascii="Times New Roman" w:hAnsi="Times New Roman"/>
        </w:rPr>
        <w:t>15 jours à 1 mois, très efficace</w:t>
      </w:r>
    </w:p>
    <w:p>
      <w:pPr>
        <w:numPr>
          <w:ilvl w:val="0"/>
          <w:numId w:val="32"/>
        </w:numPr>
      </w:pPr>
      <w:r>
        <w:rPr>
          <w:rFonts w:ascii="Times New Roman" w:hAnsi="Times New Roman"/>
          <w:b/>
        </w:rPr>
        <w:t>Traitement chirurgical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Fundoplicature</w:t>
      </w:r>
      <w:r>
        <w:rPr>
          <w:rFonts w:ascii="Times New Roman" w:hAnsi="Times New Roman"/>
        </w:rPr>
        <w:t xml:space="preserve"> de </w:t>
      </w:r>
      <w:r>
        <w:rPr>
          <w:rFonts w:ascii="Times New Roman" w:hAnsi="Times New Roman"/>
        </w:rPr>
        <w:t>Nissen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Réalisée actuellement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Par coelioscopie</w:t>
      </w:r>
    </w:p>
    <w:p>
      <w:pPr>
        <w:numPr>
          <w:ilvl w:val="2"/>
          <w:numId w:val="32"/>
        </w:numPr>
      </w:pPr>
      <w:r>
        <w:rPr>
          <w:rFonts w:ascii="Times New Roman" w:hAnsi="Times New Roman"/>
        </w:rPr>
        <w:t>Sous péridurale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Suites écourtées et beaucoup plus simple qu'auparavant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Tableau de test de fonctionnalité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Test1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>Test 2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3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>Test 4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5 </w:t>
            </w:r>
          </w:p>
        </w:tc>
      </w:tr>
      <w:tr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6 </w:t>
            </w:r>
          </w:p>
        </w:tc>
        <w:tc>
          <w:tcPr>
            <w:tcW w:type="dxa" w:w="3207"/>
          </w:tcPr>
          <w:p/>
          <w:p>
            <w:pPr/>
            <w:r>
              <w:rPr>
                <w:rFonts w:ascii="Times New Roman" w:hAnsi="Times New Roman"/>
              </w:rPr>
              <w:t xml:space="preserve">Test 7 </w:t>
            </w:r>
          </w:p>
        </w:tc>
        <w:tc>
          <w:tcPr>
            <w:tcW w:type="dxa" w:w="3208"/>
          </w:tcPr>
          <w:p/>
          <w:p>
            <w:pPr/>
            <w:r>
              <w:rPr>
                <w:rFonts w:ascii="Times New Roman" w:hAnsi="Times New Roman"/>
              </w:rPr>
              <w:t xml:space="preserve">Test 8 </w:t>
            </w:r>
          </w:p>
        </w:tc>
      </w:tr>
    </w:tbl>
    <w:p>
      <w:pPr/>
    </w:p>
    <w:p>
      <w:pPr>
        <w:pStyle w:val="Heading2"/>
      </w:pPr>
      <w:r>
        <w:rPr/>
        <w:t>FORMES CLINIQUES ET PRISE EN CHARGE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Formes digestives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Régurgitations simples</w:t>
      </w:r>
    </w:p>
    <w:p>
      <w:pPr>
        <w:numPr>
          <w:ilvl w:val="2"/>
          <w:numId w:val="33"/>
        </w:numPr>
      </w:pPr>
      <w:r>
        <w:rPr>
          <w:rFonts w:ascii="Times New Roman" w:hAnsi="Times New Roman"/>
        </w:rPr>
        <w:t>Evolution :</w:t>
      </w:r>
      <w:r>
        <w:rPr>
          <w:rFonts w:ascii="Times New Roman" w:hAnsi="Times New Roman"/>
        </w:rPr>
        <w:t xml:space="preserve"> disparition spontanée avant 5-6 mois, parfois 9 mois, exceptionnellement un an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Œsophagite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Formes neurologiques : malaise grave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Non obstructif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Mais apnée, bradycardie, pâleur, simulant un accès de "mort subite manquée", de résolution spontanée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Formes respiratoires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Asthme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Pneumonie récidivante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Toux nocturne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Formes ORL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Stridor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