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HERNIE INGUINALE DE LA PETITE FILLE</w:t>
      </w:r>
      <w:r>
        <w:rPr/>
        <w:t xml:space="preserve"> </w:t>
      </w:r>
    </w:p>
    <w:p>
      <w:pPr>
        <w:pStyle w:val="NoSpacing"/>
      </w:pPr>
      <w:r>
        <w:rPr>
          <w:rFonts w:ascii="Times New Roman" w:hAnsi="Times New Roman"/>
        </w:rPr>
        <w:t xml:space="preserve">Risque de la hernie </w:t>
      </w:r>
      <w:r>
        <w:rPr>
          <w:rFonts w:ascii="Times New Roman" w:hAnsi="Times New Roman"/>
        </w:rPr>
        <w:t>ovarienne:</w:t>
      </w:r>
      <w:r>
        <w:rPr>
          <w:rFonts w:ascii="Times New Roman" w:hAnsi="Times New Roman"/>
        </w:rPr>
        <w:t xml:space="preserve"> traumatisme, </w:t>
      </w:r>
      <w:r>
        <w:rPr>
          <w:rFonts w:ascii="Times New Roman" w:hAnsi="Times New Roman"/>
        </w:rPr>
        <w:t>ischemie</w:t>
      </w:r>
      <w:r>
        <w:rPr>
          <w:rFonts w:ascii="Times New Roman" w:hAnsi="Times New Roman"/>
        </w:rPr>
        <w:t>, torsion</w:t>
      </w:r>
    </w:p>
    <w:p>
      <w:pPr>
        <w:pStyle w:val="NoSpacing"/>
      </w:pPr>
    </w:p>
    <w:p>
      <w:pPr>
        <w:pStyle w:val="Heading2"/>
      </w:pPr>
      <w:r>
        <w:rPr/>
        <w:t>INTRODUCTION</w:t>
      </w:r>
    </w:p>
    <w:p>
      <w:pPr>
        <w:pStyle w:val="NoSpacing"/>
        <w:spacing w:line="360" w:lineRule="auto"/>
        <w:numPr>
          <w:ilvl w:val="0"/>
          <w:numId w:val="11"/>
        </w:numPr>
      </w:pPr>
      <w:r>
        <w:rPr>
          <w:rFonts w:ascii="Times New Roman" w:hAnsi="Times New Roman"/>
          <w:sz w:val="24"/>
        </w:rPr>
        <w:t xml:space="preserve">Moins </w:t>
      </w:r>
      <w:r>
        <w:rPr>
          <w:rFonts w:ascii="Times New Roman" w:hAnsi="Times New Roman"/>
          <w:sz w:val="24"/>
        </w:rPr>
        <w:t>frequente</w:t>
      </w:r>
      <w:r>
        <w:rPr>
          <w:rFonts w:ascii="Times New Roman" w:hAnsi="Times New Roman"/>
          <w:sz w:val="24"/>
        </w:rPr>
        <w:t xml:space="preserve"> par rapport à la hernie inguinale du Garçon </w:t>
      </w:r>
    </w:p>
    <w:p>
      <w:pPr>
        <w:pStyle w:val="NoSpacing"/>
        <w:spacing w:line="360" w:lineRule="auto"/>
        <w:numPr>
          <w:ilvl w:val="0"/>
          <w:numId w:val="11"/>
        </w:numPr>
      </w:pPr>
      <w:r>
        <w:rPr>
          <w:rFonts w:ascii="Times New Roman" w:hAnsi="Times New Roman"/>
          <w:sz w:val="24"/>
        </w:rPr>
        <w:t>Contenu ovarien dans la quasi-totalité des cas, d'où l'</w:t>
      </w:r>
      <w:r>
        <w:rPr>
          <w:rFonts w:ascii="Times New Roman" w:hAnsi="Times New Roman"/>
          <w:sz w:val="24"/>
        </w:rPr>
        <w:t>appelation</w:t>
      </w:r>
      <w:r>
        <w:rPr>
          <w:rFonts w:ascii="Times New Roman" w:hAnsi="Times New Roman"/>
          <w:sz w:val="24"/>
        </w:rPr>
        <w:t xml:space="preserve"> "hernie ovarienne" ou "hernie de l'ovaire" </w:t>
      </w:r>
    </w:p>
    <w:p>
      <w:pPr>
        <w:pStyle w:val="Heading3"/>
      </w:pPr>
      <w:r>
        <w:rPr/>
        <w:t>PHYSIOPATHOLOGIE</w:t>
      </w:r>
    </w:p>
    <w:p>
      <w:pPr>
        <w:pStyle w:val="NoSpacing"/>
        <w:spacing w:line="360" w:lineRule="auto"/>
        <w:numPr>
          <w:ilvl w:val="0"/>
          <w:numId w:val="12"/>
        </w:numPr>
      </w:pPr>
      <w:r>
        <w:rPr>
          <w:rFonts w:ascii="Times New Roman" w:hAnsi="Times New Roman"/>
          <w:sz w:val="24"/>
        </w:rPr>
        <w:t xml:space="preserve">Persistance du canal de </w:t>
      </w:r>
      <w:r>
        <w:rPr>
          <w:rFonts w:ascii="Times New Roman" w:hAnsi="Times New Roman"/>
          <w:sz w:val="24"/>
        </w:rPr>
        <w:t>Nuck</w:t>
      </w:r>
      <w:r>
        <w:rPr>
          <w:rFonts w:ascii="Times New Roman" w:hAnsi="Times New Roman"/>
          <w:sz w:val="24"/>
        </w:rPr>
        <w:t xml:space="preserve"> (passage du ligament rond de l'utérus aux grandes lèvres) </w:t>
      </w:r>
    </w:p>
    <w:p>
      <w:pPr>
        <w:pStyle w:val="NoSpacing"/>
        <w:spacing w:line="360" w:lineRule="auto"/>
        <w:numPr>
          <w:ilvl w:val="0"/>
          <w:numId w:val="12"/>
        </w:numPr>
      </w:pPr>
      <w:r>
        <w:rPr>
          <w:rFonts w:ascii="Times New Roman" w:hAnsi="Times New Roman"/>
          <w:sz w:val="24"/>
        </w:rPr>
        <w:t>Irruption de l'ovaire dans ce canal à chaque hyperpression abdominale</w:t>
      </w:r>
    </w:p>
    <w:p>
      <w:pPr>
        <w:pStyle w:val="NoSpacing"/>
        <w:spacing w:line="360" w:lineRule="auto"/>
      </w:pPr>
    </w:p>
    <w:p>
      <w:pPr>
        <w:pStyle w:val="Heading2"/>
      </w:pPr>
      <w:r>
        <w:rPr/>
        <w:t>COMPLICATIONS</w:t>
      </w:r>
    </w:p>
    <w:p>
      <w:pPr>
        <w:pStyle w:val="NoSpacing"/>
        <w:spacing w:line="360" w:lineRule="auto"/>
        <w:numPr>
          <w:ilvl w:val="0"/>
          <w:numId w:val="13"/>
        </w:numPr>
      </w:pPr>
      <w:r>
        <w:rPr>
          <w:rFonts w:ascii="Times New Roman" w:hAnsi="Times New Roman"/>
          <w:sz w:val="24"/>
        </w:rPr>
        <w:t xml:space="preserve">Risque très élevé de dommage gonadique </w:t>
      </w:r>
      <w:r>
        <w:rPr>
          <w:rFonts w:ascii="Times New Roman" w:hAnsi="Times New Roman"/>
          <w:sz w:val="24"/>
        </w:rPr>
        <w:t>par:</w:t>
      </w:r>
    </w:p>
    <w:p>
      <w:pPr>
        <w:pStyle w:val="NoSpacing"/>
        <w:spacing w:line="360" w:lineRule="auto"/>
        <w:numPr>
          <w:ilvl w:val="1"/>
          <w:numId w:val="13"/>
        </w:numPr>
      </w:pPr>
      <w:r>
        <w:rPr>
          <w:rFonts w:ascii="Times New Roman" w:hAnsi="Times New Roman"/>
          <w:sz w:val="24"/>
        </w:rPr>
        <w:t>Ischemie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 xml:space="preserve">volvulus, ou par </w:t>
      </w:r>
      <w:r>
        <w:rPr>
          <w:rFonts w:ascii="Times New Roman" w:hAnsi="Times New Roman"/>
          <w:sz w:val="24"/>
        </w:rPr>
        <w:t>etirement</w:t>
      </w:r>
      <w:r>
        <w:rPr>
          <w:rFonts w:ascii="Times New Roman" w:hAnsi="Times New Roman"/>
          <w:sz w:val="24"/>
        </w:rPr>
        <w:t xml:space="preserve"> des </w:t>
      </w:r>
      <w:r>
        <w:rPr>
          <w:rFonts w:ascii="Times New Roman" w:hAnsi="Times New Roman"/>
          <w:sz w:val="24"/>
        </w:rPr>
        <w:t>pedicules</w:t>
      </w:r>
      <w:r>
        <w:rPr>
          <w:rFonts w:ascii="Times New Roman" w:hAnsi="Times New Roman"/>
          <w:sz w:val="24"/>
        </w:rPr>
        <w:t xml:space="preserve"> vasculaires) </w:t>
      </w:r>
    </w:p>
    <w:p>
      <w:pPr>
        <w:pStyle w:val="NoSpacing"/>
        <w:spacing w:line="360" w:lineRule="auto"/>
        <w:numPr>
          <w:ilvl w:val="1"/>
          <w:numId w:val="13"/>
        </w:numPr>
      </w:pPr>
      <w:r>
        <w:rPr>
          <w:rFonts w:ascii="Times New Roman" w:hAnsi="Times New Roman"/>
          <w:sz w:val="24"/>
        </w:rPr>
        <w:t>Etranglement</w:t>
      </w:r>
    </w:p>
    <w:p>
      <w:pPr>
        <w:pStyle w:val="NoSpacing"/>
        <w:spacing w:line="360" w:lineRule="auto"/>
        <w:numPr>
          <w:ilvl w:val="1"/>
          <w:numId w:val="13"/>
        </w:numPr>
      </w:pPr>
      <w:r>
        <w:rPr>
          <w:rFonts w:ascii="Times New Roman" w:hAnsi="Times New Roman"/>
          <w:sz w:val="24"/>
        </w:rPr>
        <w:t>Traumatisme(</w:t>
      </w:r>
      <w:r>
        <w:rPr>
          <w:rFonts w:ascii="Times New Roman" w:hAnsi="Times New Roman"/>
          <w:sz w:val="24"/>
        </w:rPr>
        <w:t>ecrasement</w:t>
      </w:r>
      <w:r>
        <w:rPr>
          <w:rFonts w:ascii="Times New Roman" w:hAnsi="Times New Roman"/>
          <w:sz w:val="24"/>
        </w:rPr>
        <w:t xml:space="preserve">) </w:t>
      </w:r>
    </w:p>
    <w:p>
      <w:pPr>
        <w:pStyle w:val="NoSpacing"/>
        <w:spacing w:line="360" w:lineRule="auto"/>
        <w:numPr>
          <w:ilvl w:val="2"/>
          <w:numId w:val="13"/>
        </w:numPr>
      </w:pPr>
      <w:r>
        <w:rPr>
          <w:rFonts w:ascii="Times New Roman" w:hAnsi="Times New Roman"/>
          <w:b/>
          <w:color w:val="FF0000"/>
          <w:sz w:val="24"/>
        </w:rPr>
        <w:t xml:space="preserve">Ne jamais tenter de </w:t>
      </w:r>
      <w:r>
        <w:rPr>
          <w:rFonts w:ascii="Times New Roman" w:hAnsi="Times New Roman"/>
          <w:b/>
          <w:color w:val="FF0000"/>
          <w:sz w:val="24"/>
        </w:rPr>
        <w:t>reduire</w:t>
      </w:r>
      <w:r>
        <w:rPr>
          <w:rFonts w:ascii="Times New Roman" w:hAnsi="Times New Roman"/>
          <w:b/>
          <w:color w:val="FF0000"/>
          <w:sz w:val="24"/>
        </w:rPr>
        <w:t xml:space="preserve"> une hernie inguinale </w:t>
      </w:r>
      <w:r>
        <w:rPr>
          <w:rFonts w:ascii="Times New Roman" w:hAnsi="Times New Roman"/>
          <w:b/>
          <w:color w:val="FF0000"/>
          <w:sz w:val="24"/>
        </w:rPr>
        <w:t>exteriorisee</w:t>
      </w:r>
      <w:r>
        <w:rPr>
          <w:rFonts w:ascii="Times New Roman" w:hAnsi="Times New Roman"/>
          <w:b/>
          <w:color w:val="FF0000"/>
          <w:sz w:val="24"/>
        </w:rPr>
        <w:t xml:space="preserve"> chez la petite </w:t>
      </w:r>
      <w:r>
        <w:rPr>
          <w:rFonts w:ascii="Times New Roman" w:hAnsi="Times New Roman"/>
          <w:b/>
          <w:color w:val="FF0000"/>
          <w:sz w:val="24"/>
        </w:rPr>
        <w:t>fille(</w:t>
      </w:r>
      <w:r>
        <w:rPr>
          <w:rFonts w:ascii="Times New Roman" w:hAnsi="Times New Roman"/>
          <w:b/>
          <w:color w:val="FF0000"/>
          <w:sz w:val="24"/>
        </w:rPr>
        <w:t>risque d'</w:t>
      </w:r>
      <w:r>
        <w:rPr>
          <w:rFonts w:ascii="Times New Roman" w:hAnsi="Times New Roman"/>
          <w:b/>
          <w:color w:val="FF0000"/>
          <w:sz w:val="24"/>
        </w:rPr>
        <w:t>ecrasement</w:t>
      </w:r>
      <w:r>
        <w:rPr>
          <w:rFonts w:ascii="Times New Roman" w:hAnsi="Times New Roman"/>
          <w:b/>
          <w:color w:val="FF0000"/>
          <w:sz w:val="24"/>
        </w:rPr>
        <w:t xml:space="preserve"> de l'ovaire) </w:t>
      </w:r>
    </w:p>
    <w:p>
      <w:pPr>
        <w:pStyle w:val="NoSpacing"/>
        <w:spacing w:line="360" w:lineRule="auto"/>
      </w:pPr>
    </w:p>
    <w:p>
      <w:pPr>
        <w:pStyle w:val="Heading2"/>
      </w:pPr>
      <w:r>
        <w:rPr/>
        <w:t>TRAITEMENT</w:t>
      </w:r>
    </w:p>
    <w:p>
      <w:pPr>
        <w:pStyle w:val="NoSpacing"/>
        <w:spacing w:line="360" w:lineRule="auto"/>
        <w:numPr>
          <w:ilvl w:val="0"/>
          <w:numId w:val="14"/>
        </w:numPr>
      </w:pPr>
      <w:r>
        <w:rPr>
          <w:rFonts w:ascii="Times New Roman" w:hAnsi="Times New Roman"/>
          <w:sz w:val="24"/>
        </w:rPr>
        <w:t>Indication opératoire ABSOLUE</w:t>
      </w:r>
    </w:p>
    <w:p>
      <w:pPr>
        <w:pStyle w:val="NoSpacing"/>
        <w:spacing w:line="360" w:lineRule="auto"/>
        <w:numPr>
          <w:ilvl w:val="0"/>
          <w:numId w:val="14"/>
        </w:numPr>
      </w:pPr>
      <w:r>
        <w:rPr>
          <w:rFonts w:ascii="Times New Roman" w:hAnsi="Times New Roman"/>
          <w:sz w:val="24"/>
        </w:rPr>
        <w:t xml:space="preserve">Intervention à faire dans le plus bref délai pour avoir quelques chances de sauver le gonade </w:t>
      </w:r>
      <w:r>
        <w:rPr>
          <w:rFonts w:ascii="Times New Roman" w:hAnsi="Times New Roman"/>
          <w:b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