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HERNIE INGUINALE</w:t>
      </w:r>
    </w:p>
    <w:p>
      <w:pPr>
        <w:pStyle w:val="Heading2"/>
      </w:pPr>
      <w:r>
        <w:rPr/>
        <w:t>PHYSIOPATHOLOGIE</w:t>
      </w:r>
    </w:p>
    <w:p>
      <w:pPr>
        <w:numPr>
          <w:ilvl w:val="0"/>
          <w:numId w:val="56"/>
        </w:numPr>
      </w:pPr>
      <w:r>
        <w:rPr/>
        <w:t>Non fermeture du CPV</w:t>
      </w:r>
    </w:p>
    <w:p>
      <w:pPr>
        <w:numPr>
          <w:ilvl w:val="0"/>
          <w:numId w:val="56"/>
        </w:numPr>
      </w:pPr>
      <w:r>
        <w:rPr/>
        <w:t xml:space="preserve">Passage de viscère à travers le canal à chaque situation d'hyperpression abdominale (cris, pleurs...) qui se réintègre dans l'abdomen après, quand celui-ci est détendu </w:t>
      </w:r>
    </w:p>
    <w:p>
      <w:pPr>
        <w:numPr>
          <w:ilvl w:val="0"/>
          <w:numId w:val="56"/>
        </w:numPr>
      </w:pPr>
      <w:r>
        <w:rPr/>
        <w:t xml:space="preserve">Explications </w:t>
      </w:r>
      <w:r>
        <w:rPr/>
        <w:t>manomboka</w:t>
      </w:r>
      <w:r>
        <w:rPr/>
        <w:t xml:space="preserve"> </w:t>
      </w:r>
      <w:r>
        <w:rPr/>
        <w:t>eto</w:t>
      </w:r>
    </w:p>
    <w:p>
      <w:pPr>
        <w:numPr>
          <w:ilvl w:val="0"/>
          <w:numId w:val="56"/>
        </w:numPr>
      </w:pPr>
      <w:r>
        <w:rPr/>
        <w:t xml:space="preserve">Voussure inguinale IMPULSIVE, REDUCTIBLE, NON DOULOUREUSE, Transillumination négative, si jusqu'au scrotum : Hernie </w:t>
      </w:r>
      <w:r>
        <w:rPr/>
        <w:t>inguino</w:t>
      </w:r>
      <w:r>
        <w:rPr/>
        <w:t>-scrotal</w:t>
      </w:r>
    </w:p>
    <w:p>
      <w:pPr>
        <w:numPr>
          <w:ilvl w:val="0"/>
          <w:numId w:val="56"/>
        </w:numPr>
      </w:pPr>
      <w:r>
        <w:rPr/>
        <w:t>Risques : évolution naturelle</w:t>
      </w:r>
    </w:p>
    <w:p>
      <w:pPr>
        <w:numPr>
          <w:ilvl w:val="0"/>
          <w:numId w:val="57"/>
        </w:numPr>
      </w:pPr>
      <w:r>
        <w:rPr/>
        <w:t>L'intestin risque d'être coincée dans le canal : hernie étranglée, perd son caractère réductible, devient douloureuse, puis inflammation progressive par gêne de retour veineux, puis défaut d'irrigation artérielle, nécrose intestinale : RISQUE VITAL</w:t>
      </w:r>
    </w:p>
    <w:p>
      <w:pPr>
        <w:numPr>
          <w:ilvl w:val="0"/>
          <w:numId w:val="57"/>
        </w:numPr>
      </w:pPr>
      <w:r>
        <w:rPr/>
        <w:t>Compression des vaisseaux testiculaires : nécrose du testicule : RISQUE FONCTIONNEL. SOLUTION : OPERER</w:t>
      </w:r>
    </w:p>
    <w:p>
      <w:pPr>
        <w:numPr>
          <w:ilvl w:val="0"/>
          <w:numId w:val="57"/>
        </w:numPr>
      </w:pPr>
      <w:r>
        <w:rPr/>
        <w:t xml:space="preserve">Accident d'étranglement survient dans 60% des cas avant 6 mois(1h16minutes). Plus l'enfant est petit, plus la chirurgie est à faire dans les plus brefs délais 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En cas d'hernie étranglée 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Douleur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Signes d'occlusion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 xml:space="preserve">Nécrose : péritonite </w:t>
      </w:r>
    </w:p>
    <w:p>
      <w:pPr>
        <w:ind w:left="360"/>
      </w:pPr>
      <w:r>
        <w:rPr>
          <w:rFonts w:ascii="Times New Roman" w:hAnsi="Times New Roman"/>
        </w:rPr>
        <w:t>Si sans ces 3 signes : il ne faut pas opérer en urgence</w:t>
      </w:r>
    </w:p>
    <w:p>
      <w:pPr>
        <w:ind w:left="360"/>
      </w:pPr>
      <w:r>
        <w:rPr>
          <w:rFonts w:ascii="Times New Roman" w:hAnsi="Times New Roman"/>
        </w:rPr>
        <w:t xml:space="preserve">Autant que possible, </w:t>
      </w:r>
      <w:r>
        <w:rPr>
          <w:rFonts w:ascii="Times New Roman" w:hAnsi="Times New Roman"/>
          <w:b/>
        </w:rPr>
        <w:t>réduire d'abord la hernie puis opérer après 72h</w:t>
      </w:r>
    </w:p>
    <w:p>
      <w:pPr>
        <w:ind w:left="360"/>
      </w:pPr>
      <w:r>
        <w:rPr>
          <w:rFonts w:ascii="Times New Roman" w:hAnsi="Times New Roman"/>
          <w:b/>
        </w:rPr>
        <w:t>Reduction médicalement assisté (1h22)</w:t>
      </w:r>
    </w:p>
    <w:p>
      <w:pPr>
        <w:ind w:left="360"/>
      </w:pPr>
    </w:p>
    <w:p>
      <w:pPr>
        <w:ind w:left="360"/>
      </w:pPr>
      <w:r>
        <w:rPr>
          <w:rFonts w:ascii="Times New Roman" w:hAnsi="Times New Roman"/>
          <w:b/>
        </w:rPr>
        <w:t xml:space="preserve"> </w:t>
      </w:r>
    </w:p>
    <w:p>
      <w:pPr>
        <w:pStyle w:val="Heading2"/>
      </w:pPr>
      <w:r>
        <w:rPr/>
        <w:t>D</w:t>
      </w:r>
      <w:r>
        <w:rPr/>
        <w:t>IAGNOSTIC</w:t>
      </w:r>
    </w:p>
    <w:p>
      <w:pPr>
        <w:pStyle w:val="Heading3"/>
      </w:pPr>
      <w:r>
        <w:rPr/>
        <w:t xml:space="preserve">Diagnostic positif : hernie non compliquée </w:t>
      </w:r>
    </w:p>
    <w:p>
      <w:pPr>
        <w:pStyle w:val="Heading4"/>
      </w:pPr>
      <w:r>
        <w:rPr/>
        <w:t>Clinique</w:t>
      </w:r>
    </w:p>
    <w:p>
      <w:pPr>
        <w:pStyle w:val="Heading5"/>
      </w:pPr>
      <w:r>
        <w:rPr/>
        <w:t>Anamnèse :</w:t>
      </w:r>
    </w:p>
    <w:p>
      <w:pPr>
        <w:numPr>
          <w:ilvl w:val="3"/>
          <w:numId w:val="5"/>
        </w:numPr>
      </w:pPr>
      <w:r>
        <w:rPr>
          <w:rFonts w:ascii="Times New Roman" w:hAnsi="Times New Roman"/>
        </w:rPr>
        <w:t xml:space="preserve">Terme de la grossesse : près de 100% des prématurés ont un CPV perméable </w:t>
      </w:r>
    </w:p>
    <w:p>
      <w:pPr>
        <w:numPr>
          <w:ilvl w:val="3"/>
          <w:numId w:val="5"/>
        </w:numPr>
      </w:pPr>
      <w:r>
        <w:rPr>
          <w:rFonts w:ascii="Times New Roman" w:hAnsi="Times New Roman"/>
        </w:rPr>
        <w:t>Très utile quand la hernie n'est pas extériorisée au moment de la consultation</w:t>
      </w:r>
    </w:p>
    <w:p>
      <w:pPr>
        <w:pStyle w:val="Heading5"/>
      </w:pPr>
      <w:r>
        <w:rPr/>
        <w:t xml:space="preserve">Masse inguinale ou </w:t>
      </w:r>
      <w:r>
        <w:rPr/>
        <w:t>inguino</w:t>
      </w:r>
      <w:r>
        <w:rPr/>
        <w:t>-scrotale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Non douloureuse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Impulsive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Réductible spontanément ou après manœuvre de taxis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Transillumination opaque</w:t>
      </w:r>
    </w:p>
    <w:p>
      <w:pPr>
        <w:pStyle w:val="Heading4"/>
      </w:pPr>
      <w:r>
        <w:rPr/>
        <w:t>Paraclinique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En règle non indispensable car diagnostic essentiellement clinique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Indication rare de l’écho :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Pour différencier une hernie non réductible d'un kyste du cordon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>Repérage du testicule pour le cas d'association ectopie testiculaire-hernie</w:t>
      </w:r>
    </w:p>
    <w:p>
      <w:pPr>
        <w:pStyle w:val="Heading3"/>
      </w:pPr>
      <w:r>
        <w:rPr/>
        <w:t>Diagnostics différentiels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 xml:space="preserve">Adénopathie inguinale : beaucoup plus externe, non réductible et "trop ferme" 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 xml:space="preserve">Testicule haut situé : ferme, mobile, souvent non réductible. Vacuité de la bourse correspondante***. Il est à noter la possibilité d'association "anomalie de migration testiculaire-hernie" 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>Kyste du cordon spermatique : masse suspendue, ferme, non réductible, testicule en place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 xml:space="preserve">Hydrocèle communicante : augmentation du volume de la bourse sans voussure inguinale et non rythmée par l'effort, transillumination positive, maximum la fin de la journée et presque nulle le matin au réveil, </w:t>
      </w:r>
      <w:r>
        <w:rPr>
          <w:rFonts w:ascii="Times New Roman" w:hAnsi="Times New Roman"/>
          <w:i/>
        </w:rPr>
        <w:t>volume de la bourse max fin journée, revient à la normal au réveil</w:t>
      </w:r>
    </w:p>
    <w:p>
      <w:pPr>
        <w:ind w:left="1800"/>
      </w:pPr>
    </w:p>
    <w:p>
      <w:pPr>
        <w:pStyle w:val="Heading3"/>
      </w:pPr>
      <w:r>
        <w:rPr/>
        <w:t>COMPLICATIONS :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"Toute hernie inguinale ou </w:t>
      </w:r>
      <w:r>
        <w:rPr>
          <w:rFonts w:ascii="Times New Roman" w:hAnsi="Times New Roman"/>
        </w:rPr>
        <w:t>inguino</w:t>
      </w:r>
      <w:r>
        <w:rPr>
          <w:rFonts w:ascii="Times New Roman" w:hAnsi="Times New Roman"/>
        </w:rPr>
        <w:t>-scrotale extériorisée comporte un risque élevé et permanent d'étranglement (20%)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>Risque de nécrose ischémique du contenu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>Lésions ischémiques gonadiques par compression des pédicules vasculaires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>Fréquence d'étranglement plus élevé que l'enfant est plus jeune : 60% au cours du premier trimestre de la vie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Signes de l’étranglement :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>Hernie devient permanente, non réductible et non impulsive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>Douloureuse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>Plus ou moins inflammation locale</w:t>
      </w:r>
    </w:p>
    <w:p>
      <w:pPr>
        <w:numPr>
          <w:ilvl w:val="1"/>
          <w:numId w:val="9"/>
        </w:numPr>
      </w:pPr>
      <w:r>
        <w:rPr>
          <w:rFonts w:ascii="Times New Roman" w:hAnsi="Times New Roman"/>
        </w:rPr>
        <w:t xml:space="preserve">Plus ou moins signes d'occlusion (météorisme, vomissement, arrêt des matières et des gaz) </w:t>
      </w:r>
    </w:p>
    <w:p>
      <w:pPr>
        <w:ind w:left="1800"/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 :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Supprimer le CPV pour prévenir les risques gonadiques et digestifs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Traiter dans les meilleures conditions pour limiter le risque d'atrophie testiculaire</w:t>
      </w:r>
    </w:p>
    <w:p>
      <w:pPr>
        <w:pStyle w:val="Heading3"/>
      </w:pPr>
      <w:r>
        <w:rPr/>
        <w:t>MOYENS :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Chirurgical de principe</w:t>
      </w:r>
    </w:p>
    <w:p>
      <w:pPr>
        <w:pStyle w:val="Heading3"/>
      </w:pPr>
      <w:r>
        <w:rPr/>
        <w:t>INDICATIONS :</w:t>
      </w:r>
    </w:p>
    <w:p>
      <w:pPr>
        <w:pStyle w:val="Heading4"/>
      </w:pPr>
      <w:r>
        <w:rPr/>
        <w:t>Hernie non compliquée :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Indication opératoire absolue quel que soit l’âge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Plus l'enfant es petit, plus l'intervention s'impose dans les meilleurs délais</w:t>
      </w:r>
    </w:p>
    <w:p>
      <w:pPr>
        <w:pStyle w:val="Heading4"/>
      </w:pPr>
      <w:r>
        <w:rPr/>
        <w:t>Hernie étranglée :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 xml:space="preserve">Pas de chirurgie en urgence sauf occlusion et/ou péritonite Franche ou échec de réduction (car inflammation locale fragilise le sac et le pédicule spermatique, d’où : risque élevé de récidive et de dommage testiculaire) 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 xml:space="preserve">Reduction médicalement assistée et intervention chirurgicale 72h après </w:t>
      </w:r>
    </w:p>
    <w:p>
      <w:pPr>
        <w:numPr>
          <w:ilvl w:val="2"/>
          <w:numId w:val="10"/>
        </w:numPr>
      </w:pPr>
      <w:r>
        <w:rPr>
          <w:rFonts w:ascii="Times New Roman" w:hAnsi="Times New Roman"/>
          <w:b/>
        </w:rPr>
        <w:t xml:space="preserve">Technique de réduction 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 xml:space="preserve">Antalgique et sédation (Hypnovel, valium) </w:t>
      </w:r>
    </w:p>
    <w:p>
      <w:pPr>
        <w:numPr>
          <w:ilvl w:val="3"/>
          <w:numId w:val="10"/>
        </w:numPr>
      </w:pPr>
      <w:r>
        <w:rPr>
          <w:rFonts w:ascii="Times New Roman" w:hAnsi="Times New Roman"/>
          <w:b/>
        </w:rPr>
        <w:t xml:space="preserve">Vessie de glace sur la région </w:t>
      </w:r>
      <w:r>
        <w:rPr>
          <w:rFonts w:ascii="Times New Roman" w:hAnsi="Times New Roman"/>
          <w:b/>
        </w:rPr>
        <w:t>inguino</w:t>
      </w:r>
      <w:r>
        <w:rPr>
          <w:rFonts w:ascii="Times New Roman" w:hAnsi="Times New Roman"/>
          <w:b/>
        </w:rPr>
        <w:t>-scrotale</w:t>
      </w:r>
    </w:p>
    <w:p>
      <w:pPr>
        <w:numPr>
          <w:ilvl w:val="3"/>
          <w:numId w:val="10"/>
        </w:numPr>
      </w:pPr>
      <w:r>
        <w:rPr>
          <w:rFonts w:ascii="Times New Roman" w:hAnsi="Times New Roman"/>
          <w:b/>
        </w:rPr>
        <w:t xml:space="preserve">Patient à mettre dans une chambre calme, sombre, propice au sommeil, avec la présence d'un proche (père ou mère) </w:t>
      </w:r>
    </w:p>
    <w:p>
      <w:pPr>
        <w:numPr>
          <w:ilvl w:val="3"/>
          <w:numId w:val="10"/>
        </w:numPr>
      </w:pPr>
      <w:r>
        <w:rPr>
          <w:rFonts w:ascii="Times New Roman" w:hAnsi="Times New Roman"/>
          <w:b/>
        </w:rPr>
        <w:t xml:space="preserve">A réexaminer après une heure : 80% réduction spontanée, 10% après taxis, 10% échec (nécessite intervention) </w:t>
      </w:r>
    </w:p>
    <w:p>
      <w:pPr>
        <w:numPr>
          <w:ilvl w:val="2"/>
          <w:numId w:val="10"/>
        </w:numPr>
      </w:pPr>
      <w:r>
        <w:rPr>
          <w:rFonts w:ascii="Times New Roman" w:hAnsi="Times New Roman"/>
          <w:b/>
        </w:rPr>
        <w:t>Bandage et ceinture herniaire formellement interdits</w:t>
      </w:r>
      <w:r>
        <w:rPr>
          <w:rFonts w:ascii="Times New Roman" w:hAnsi="Times New Roman"/>
          <w:i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