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HYPOSPADIAS</w:t>
      </w:r>
    </w:p>
    <w:p>
      <w:pPr/>
      <w:r>
        <w:rPr>
          <w:rFonts w:ascii="Times New Roman" w:hAnsi="Times New Roman"/>
          <w:i/>
        </w:rPr>
        <w:t>Grec:</w:t>
      </w:r>
      <w:r>
        <w:rPr>
          <w:rFonts w:ascii="Times New Roman" w:hAnsi="Times New Roman"/>
          <w:i/>
        </w:rPr>
        <w:t xml:space="preserve"> Hypo=en dessous, </w:t>
      </w:r>
      <w:r>
        <w:rPr>
          <w:rFonts w:ascii="Times New Roman" w:hAnsi="Times New Roman"/>
          <w:i/>
        </w:rPr>
        <w:t>Spado</w:t>
      </w:r>
      <w:r>
        <w:rPr>
          <w:rFonts w:ascii="Times New Roman" w:hAnsi="Times New Roman"/>
          <w:i/>
        </w:rPr>
        <w:t>=fente ou fissure</w:t>
      </w:r>
    </w:p>
    <w:p>
      <w:pPr/>
      <w:r>
        <w:rPr>
          <w:rFonts w:ascii="Times New Roman" w:hAnsi="Times New Roman"/>
          <w:i/>
        </w:rPr>
        <w:t xml:space="preserve">C'est une </w:t>
      </w:r>
      <w:r>
        <w:rPr>
          <w:rFonts w:ascii="Times New Roman" w:hAnsi="Times New Roman"/>
          <w:i/>
          <w:color w:val="FF0000"/>
        </w:rPr>
        <w:t xml:space="preserve">ectopie du méat urinaire + Hypoplasie du corps caverneux qui donne un </w:t>
      </w:r>
      <w:r>
        <w:rPr>
          <w:rFonts w:ascii="Times New Roman" w:hAnsi="Times New Roman"/>
          <w:i/>
          <w:color w:val="FF0000"/>
        </w:rPr>
        <w:t>Micropenis</w:t>
      </w:r>
      <w:r>
        <w:rPr>
          <w:rFonts w:ascii="Times New Roman" w:hAnsi="Times New Roman"/>
          <w:i/>
          <w:color w:val="FF0000"/>
        </w:rPr>
        <w:t xml:space="preserve"> + Coudure de la verge (28minutes) + torsion + enlisement de la verge ou la peau scrotale qui enfouit le reste de la verge post coudure + sténose du </w:t>
      </w:r>
      <w:r>
        <w:rPr>
          <w:rFonts w:ascii="Times New Roman" w:hAnsi="Times New Roman"/>
          <w:i/>
          <w:color w:val="FF0000"/>
        </w:rPr>
        <w:t>meat</w:t>
      </w:r>
    </w:p>
    <w:p>
      <w:pPr/>
      <w:r>
        <w:rPr>
          <w:rFonts w:ascii="Times New Roman" w:hAnsi="Times New Roman"/>
          <w:i/>
          <w:color w:val="000000"/>
        </w:rPr>
        <w:t>Formation:</w:t>
      </w:r>
    </w:p>
    <w:p>
      <w:pPr/>
      <w:r>
        <w:rPr>
          <w:rFonts w:ascii="Times New Roman" w:hAnsi="Times New Roman"/>
          <w:i/>
          <w:color w:val="000000"/>
        </w:rPr>
        <w:t xml:space="preserve">Avant la 3ème semaine, les 2 genres possèdent le Bourrelet </w:t>
      </w:r>
      <w:r>
        <w:rPr>
          <w:rFonts w:ascii="Times New Roman" w:hAnsi="Times New Roman"/>
          <w:i/>
          <w:color w:val="000000"/>
        </w:rPr>
        <w:t>genital</w:t>
      </w:r>
      <w:r>
        <w:rPr>
          <w:rFonts w:ascii="Times New Roman" w:hAnsi="Times New Roman"/>
          <w:i/>
          <w:color w:val="000000"/>
        </w:rPr>
        <w:t xml:space="preserve"> qui ne va se </w:t>
      </w:r>
      <w:r>
        <w:rPr>
          <w:rFonts w:ascii="Times New Roman" w:hAnsi="Times New Roman"/>
          <w:i/>
          <w:color w:val="000000"/>
        </w:rPr>
        <w:t>differencier</w:t>
      </w:r>
      <w:r>
        <w:rPr>
          <w:rFonts w:ascii="Times New Roman" w:hAnsi="Times New Roman"/>
          <w:i/>
          <w:color w:val="000000"/>
        </w:rPr>
        <w:t xml:space="preserve"> qu'à partir de la 11ème semaine (25 minutes) </w:t>
      </w:r>
    </w:p>
    <w:p>
      <w:pPr/>
      <w:r>
        <w:rPr>
          <w:rFonts w:ascii="Times New Roman" w:hAnsi="Times New Roman"/>
          <w:i/>
          <w:color w:val="000000"/>
        </w:rPr>
        <w:t>Consequences</w:t>
      </w:r>
      <w:r>
        <w:rPr>
          <w:rFonts w:ascii="Times New Roman" w:hAnsi="Times New Roman"/>
          <w:i/>
          <w:color w:val="000000"/>
        </w:rPr>
        <w:t>:</w:t>
      </w:r>
    </w:p>
    <w:p>
      <w:pPr>
        <w:numPr>
          <w:ilvl w:val="0"/>
          <w:numId w:val="15"/>
        </w:numPr>
      </w:pPr>
      <w:r>
        <w:rPr>
          <w:rFonts w:ascii="Times New Roman" w:hAnsi="Times New Roman"/>
          <w:i/>
          <w:color w:val="000000"/>
        </w:rPr>
        <w:t xml:space="preserve">Anomalies de la </w:t>
      </w:r>
      <w:r>
        <w:rPr>
          <w:rFonts w:ascii="Times New Roman" w:hAnsi="Times New Roman"/>
          <w:i/>
          <w:color w:val="000000"/>
        </w:rPr>
        <w:t>miction:</w:t>
      </w:r>
      <w:r>
        <w:rPr>
          <w:rFonts w:ascii="Times New Roman" w:hAnsi="Times New Roman"/>
          <w:i/>
          <w:color w:val="000000"/>
        </w:rPr>
        <w:t xml:space="preserve"> impossibilité de jet droit, doit s'accroupir</w:t>
      </w:r>
    </w:p>
    <w:p>
      <w:pPr/>
      <w:r>
        <w:rPr>
          <w:rFonts w:ascii="Times New Roman" w:hAnsi="Times New Roman"/>
          <w:color w:val="000000"/>
        </w:rPr>
        <w:t>Traitement: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medical</w:t>
      </w:r>
      <w:r>
        <w:rPr>
          <w:rFonts w:ascii="Times New Roman" w:hAnsi="Times New Roman"/>
          <w:color w:val="000000"/>
        </w:rPr>
        <w:t xml:space="preserve"> et chirurgical</w:t>
      </w:r>
    </w:p>
    <w:p>
      <w:pPr>
        <w:numPr>
          <w:ilvl w:val="0"/>
          <w:numId w:val="16"/>
        </w:numPr>
      </w:pPr>
      <w:r>
        <w:rPr>
          <w:rFonts w:ascii="Times New Roman" w:hAnsi="Times New Roman"/>
          <w:color w:val="000000"/>
        </w:rPr>
        <w:t xml:space="preserve">Traiter le </w:t>
      </w:r>
      <w:r>
        <w:rPr>
          <w:rFonts w:ascii="Times New Roman" w:hAnsi="Times New Roman"/>
          <w:color w:val="000000"/>
        </w:rPr>
        <w:t>micropenis</w:t>
      </w:r>
    </w:p>
    <w:p>
      <w:pPr>
        <w:numPr>
          <w:ilvl w:val="0"/>
          <w:numId w:val="16"/>
        </w:numPr>
      </w:pPr>
      <w:r>
        <w:rPr>
          <w:rFonts w:ascii="Times New Roman" w:hAnsi="Times New Roman"/>
          <w:color w:val="000000"/>
        </w:rPr>
        <w:t>Faire l'</w:t>
      </w:r>
      <w:r>
        <w:rPr>
          <w:rFonts w:ascii="Times New Roman" w:hAnsi="Times New Roman"/>
          <w:color w:val="000000"/>
        </w:rPr>
        <w:t>uretroplastie</w:t>
      </w:r>
    </w:p>
    <w:p>
      <w:pPr>
        <w:numPr>
          <w:ilvl w:val="0"/>
          <w:numId w:val="16"/>
        </w:numPr>
      </w:pPr>
      <w:r>
        <w:rPr>
          <w:rFonts w:ascii="Times New Roman" w:hAnsi="Times New Roman"/>
          <w:color w:val="000000"/>
        </w:rPr>
        <w:t xml:space="preserve">NB : </w:t>
      </w:r>
      <w:r>
        <w:rPr>
          <w:rFonts w:ascii="Times New Roman" w:hAnsi="Times New Roman"/>
          <w:color w:val="FF0000"/>
        </w:rPr>
        <w:t xml:space="preserve">Un petit garçon </w:t>
      </w:r>
      <w:r>
        <w:rPr>
          <w:rFonts w:ascii="Times New Roman" w:hAnsi="Times New Roman"/>
          <w:color w:val="FF0000"/>
        </w:rPr>
        <w:t>hypospade:</w:t>
      </w:r>
      <w:r>
        <w:rPr>
          <w:rFonts w:ascii="Times New Roman" w:hAnsi="Times New Roman"/>
          <w:color w:val="FF0000"/>
        </w:rPr>
        <w:t xml:space="preserve"> il ne faut jamais faire de Circoncision car c'est la peau du prépuce qui va être utiliser pour </w:t>
      </w:r>
      <w:r>
        <w:rPr>
          <w:rFonts w:ascii="Times New Roman" w:hAnsi="Times New Roman"/>
          <w:color w:val="FF0000"/>
        </w:rPr>
        <w:t>creer</w:t>
      </w:r>
      <w:r>
        <w:rPr>
          <w:rFonts w:ascii="Times New Roman" w:hAnsi="Times New Roman"/>
          <w:color w:val="FF0000"/>
        </w:rPr>
        <w:t xml:space="preserve"> un conduit </w:t>
      </w:r>
      <w:r>
        <w:rPr>
          <w:rFonts w:ascii="Times New Roman" w:hAnsi="Times New Roman"/>
          <w:color w:val="FF0000"/>
        </w:rPr>
        <w:t>uretral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DEFINITION</w:t>
      </w:r>
    </w:p>
    <w:p>
      <w:pPr>
        <w:pStyle w:val="NoSpacing"/>
        <w:spacing w:line="360" w:lineRule="auto"/>
        <w:numPr>
          <w:ilvl w:val="1"/>
          <w:numId w:val="17"/>
        </w:numPr>
      </w:pPr>
      <w:r>
        <w:rPr>
          <w:rFonts w:ascii="Times New Roman" w:hAnsi="Times New Roman"/>
          <w:sz w:val="24"/>
        </w:rPr>
        <w:t>Le terme d'hypospadias est dérivé du grec "hypo" qui signifie dessous et "spadon" signifiant fissure ou fente</w:t>
      </w:r>
    </w:p>
    <w:p>
      <w:pPr>
        <w:pStyle w:val="NoSpacing"/>
        <w:spacing w:line="360" w:lineRule="auto"/>
        <w:numPr>
          <w:ilvl w:val="1"/>
          <w:numId w:val="17"/>
        </w:numPr>
      </w:pPr>
      <w:r>
        <w:rPr>
          <w:rFonts w:ascii="Times New Roman" w:hAnsi="Times New Roman"/>
          <w:sz w:val="24"/>
        </w:rPr>
        <w:t xml:space="preserve">Il fait donc référence à la position du </w:t>
      </w:r>
      <w:r>
        <w:rPr>
          <w:rFonts w:ascii="Times New Roman" w:hAnsi="Times New Roman"/>
          <w:sz w:val="24"/>
        </w:rPr>
        <w:t>meat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uretral</w:t>
      </w:r>
      <w:r>
        <w:rPr>
          <w:rFonts w:ascii="Times New Roman" w:hAnsi="Times New Roman"/>
          <w:sz w:val="24"/>
        </w:rPr>
        <w:t xml:space="preserve"> qui ne se situe pas en place normale au sommet du gland dans la fossette naviculaire, mais à la face ventrale de la verge ou au niveau du scrotum voire du périnée </w:t>
      </w:r>
    </w:p>
    <w:p>
      <w:pPr>
        <w:pStyle w:val="NoSpacing"/>
        <w:spacing w:line="360" w:lineRule="auto"/>
        <w:numPr>
          <w:ilvl w:val="1"/>
          <w:numId w:val="17"/>
        </w:numPr>
      </w:pPr>
      <w:r>
        <w:rPr>
          <w:rFonts w:ascii="Times New Roman" w:hAnsi="Times New Roman"/>
          <w:sz w:val="24"/>
        </w:rPr>
        <w:t xml:space="preserve">Il s'agit d'une malformation complexe associant une ectopie du méat et de nombreuses malformations de la verge gênant la miction et ultérieurement l'activité sexuelle et génitale </w:t>
      </w:r>
    </w:p>
    <w:p>
      <w:pPr>
        <w:pStyle w:val="NoSpacing"/>
        <w:spacing w:line="360" w:lineRule="auto"/>
        <w:numPr>
          <w:ilvl w:val="1"/>
          <w:numId w:val="17"/>
        </w:numPr>
      </w:pPr>
      <w:r>
        <w:rPr>
          <w:rFonts w:ascii="Times New Roman" w:hAnsi="Times New Roman"/>
          <w:sz w:val="24"/>
        </w:rPr>
        <w:t>Fréquences :1 à 8/1000</w:t>
      </w:r>
    </w:p>
    <w:p>
      <w:pPr>
        <w:pStyle w:val="Heading3"/>
      </w:pPr>
      <w:r>
        <w:rPr/>
        <w:t>EMBRYOLOGIE</w:t>
      </w:r>
    </w:p>
    <w:p>
      <w:pPr>
        <w:pStyle w:val="NoSpacing"/>
        <w:spacing w:line="360" w:lineRule="auto"/>
        <w:numPr>
          <w:ilvl w:val="0"/>
          <w:numId w:val="18"/>
        </w:numPr>
      </w:pPr>
      <w:r>
        <w:rPr>
          <w:rFonts w:ascii="Times New Roman" w:hAnsi="Times New Roman"/>
          <w:sz w:val="24"/>
        </w:rPr>
        <w:t xml:space="preserve">Jusqu'à la 9ème SA, chez les deux sexes, à l'emplacement des organes génitaux se trouve le tubercule génital. </w:t>
      </w:r>
    </w:p>
    <w:p>
      <w:pPr>
        <w:pStyle w:val="NoSpacing"/>
        <w:spacing w:line="360" w:lineRule="auto"/>
        <w:numPr>
          <w:ilvl w:val="0"/>
          <w:numId w:val="18"/>
        </w:numPr>
      </w:pPr>
      <w:r>
        <w:rPr>
          <w:rFonts w:ascii="Times New Roman" w:hAnsi="Times New Roman"/>
          <w:sz w:val="24"/>
        </w:rPr>
        <w:t xml:space="preserve">A partir de la 11e SA, sous l'effet des hormones </w:t>
      </w:r>
      <w:r>
        <w:rPr>
          <w:rFonts w:ascii="Times New Roman" w:hAnsi="Times New Roman"/>
          <w:sz w:val="24"/>
        </w:rPr>
        <w:t>androgenes</w:t>
      </w:r>
      <w:r>
        <w:rPr>
          <w:rFonts w:ascii="Times New Roman" w:hAnsi="Times New Roman"/>
          <w:sz w:val="24"/>
        </w:rPr>
        <w:t xml:space="preserve">, le tubercule </w:t>
      </w:r>
      <w:r>
        <w:rPr>
          <w:rFonts w:ascii="Times New Roman" w:hAnsi="Times New Roman"/>
          <w:sz w:val="24"/>
        </w:rPr>
        <w:t>genital</w:t>
      </w:r>
      <w:r>
        <w:rPr>
          <w:rFonts w:ascii="Times New Roman" w:hAnsi="Times New Roman"/>
          <w:sz w:val="24"/>
        </w:rPr>
        <w:t xml:space="preserve"> s'allonge pour former le </w:t>
      </w:r>
      <w:r>
        <w:rPr>
          <w:rFonts w:ascii="Times New Roman" w:hAnsi="Times New Roman"/>
          <w:sz w:val="24"/>
        </w:rPr>
        <w:t>penis</w:t>
      </w:r>
      <w:r>
        <w:rPr>
          <w:rFonts w:ascii="Times New Roman" w:hAnsi="Times New Roman"/>
          <w:sz w:val="24"/>
        </w:rPr>
        <w:t xml:space="preserve">, entrainant avec lui les plis </w:t>
      </w:r>
      <w:r>
        <w:rPr>
          <w:rFonts w:ascii="Times New Roman" w:hAnsi="Times New Roman"/>
          <w:sz w:val="24"/>
        </w:rPr>
        <w:t>uretraux</w:t>
      </w:r>
      <w:r>
        <w:rPr>
          <w:rFonts w:ascii="Times New Roman" w:hAnsi="Times New Roman"/>
          <w:sz w:val="24"/>
        </w:rPr>
        <w:t xml:space="preserve"> qui forment la gouttière </w:t>
      </w:r>
      <w:r>
        <w:rPr>
          <w:rFonts w:ascii="Times New Roman" w:hAnsi="Times New Roman"/>
          <w:sz w:val="24"/>
        </w:rPr>
        <w:t>uretrale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 xml:space="preserve">canal </w:t>
      </w:r>
      <w:r>
        <w:rPr>
          <w:rFonts w:ascii="Times New Roman" w:hAnsi="Times New Roman"/>
          <w:sz w:val="24"/>
        </w:rPr>
        <w:t>uretral</w:t>
      </w:r>
      <w:r>
        <w:rPr>
          <w:rFonts w:ascii="Times New Roman" w:hAnsi="Times New Roman"/>
          <w:sz w:val="24"/>
        </w:rPr>
        <w:t>) qui s'</w:t>
      </w:r>
      <w:r>
        <w:rPr>
          <w:rFonts w:ascii="Times New Roman" w:hAnsi="Times New Roman"/>
          <w:sz w:val="24"/>
        </w:rPr>
        <w:t>etendra</w:t>
      </w:r>
      <w:r>
        <w:rPr>
          <w:rFonts w:ascii="Times New Roman" w:hAnsi="Times New Roman"/>
          <w:sz w:val="24"/>
        </w:rPr>
        <w:t xml:space="preserve"> sur toute la longueur de la face inferieure du </w:t>
      </w:r>
      <w:r>
        <w:rPr>
          <w:rFonts w:ascii="Times New Roman" w:hAnsi="Times New Roman"/>
          <w:sz w:val="24"/>
        </w:rPr>
        <w:t>penis</w:t>
      </w:r>
      <w:r>
        <w:rPr>
          <w:rFonts w:ascii="Times New Roman" w:hAnsi="Times New Roman"/>
          <w:sz w:val="24"/>
        </w:rPr>
        <w:t xml:space="preserve"> sans atteindre son extrémité distale, c'est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z w:val="24"/>
        </w:rPr>
        <w:t xml:space="preserve"> dire le glande</w:t>
      </w:r>
    </w:p>
    <w:p>
      <w:pPr>
        <w:pStyle w:val="NoSpacing"/>
        <w:spacing w:line="360" w:lineRule="auto"/>
        <w:numPr>
          <w:ilvl w:val="0"/>
          <w:numId w:val="18"/>
        </w:numPr>
      </w:pPr>
      <w:r>
        <w:rPr>
          <w:rFonts w:ascii="Times New Roman" w:hAnsi="Times New Roman"/>
          <w:sz w:val="24"/>
        </w:rPr>
        <w:t xml:space="preserve">A la fin du 3e mois de grossesse, les plis </w:t>
      </w:r>
      <w:r>
        <w:rPr>
          <w:rFonts w:ascii="Times New Roman" w:hAnsi="Times New Roman"/>
          <w:sz w:val="24"/>
        </w:rPr>
        <w:t>uretraux</w:t>
      </w:r>
      <w:r>
        <w:rPr>
          <w:rFonts w:ascii="Times New Roman" w:hAnsi="Times New Roman"/>
          <w:sz w:val="24"/>
        </w:rPr>
        <w:t xml:space="preserve"> fusionnent pour former l'urètre </w:t>
      </w:r>
      <w:r>
        <w:rPr>
          <w:rFonts w:ascii="Times New Roman" w:hAnsi="Times New Roman"/>
          <w:sz w:val="24"/>
        </w:rPr>
        <w:t>penien</w:t>
      </w:r>
      <w:r>
        <w:rPr>
          <w:rFonts w:ascii="Times New Roman" w:hAnsi="Times New Roman"/>
          <w:sz w:val="24"/>
        </w:rPr>
        <w:t xml:space="preserve"> qui sera prolongé par l'urètre </w:t>
      </w:r>
      <w:r>
        <w:rPr>
          <w:rFonts w:ascii="Times New Roman" w:hAnsi="Times New Roman"/>
          <w:sz w:val="24"/>
        </w:rPr>
        <w:t>balanique</w:t>
      </w:r>
      <w:r>
        <w:rPr>
          <w:rFonts w:ascii="Times New Roman" w:hAnsi="Times New Roman"/>
          <w:sz w:val="24"/>
        </w:rPr>
        <w:t xml:space="preserve"> au cours du 4e mois par invagination de l'ectoderme à l'extrémité du gland et s'ouvrant au niveau du méat urinaire</w:t>
      </w:r>
    </w:p>
    <w:p>
      <w:pPr>
        <w:pStyle w:val="NoSpacing"/>
        <w:spacing w:line="360" w:lineRule="auto"/>
      </w:pPr>
      <w:r>
        <w:rPr>
          <w:rFonts w:ascii="Times New Roman" w:hAnsi="Times New Roman"/>
          <w:sz w:val="24"/>
        </w:rPr>
        <w:t xml:space="preserve">L'hypospadias résulte d'un double processus </w:t>
      </w:r>
      <w:r>
        <w:rPr>
          <w:rFonts w:ascii="Times New Roman" w:hAnsi="Times New Roman"/>
          <w:sz w:val="24"/>
        </w:rPr>
        <w:t>pathologique:</w:t>
      </w:r>
    </w:p>
    <w:p>
      <w:pPr>
        <w:pStyle w:val="NoSpacing"/>
        <w:spacing w:line="360" w:lineRule="auto"/>
        <w:numPr>
          <w:ilvl w:val="0"/>
          <w:numId w:val="19"/>
        </w:numPr>
      </w:pPr>
      <w:r>
        <w:rPr>
          <w:rFonts w:ascii="Times New Roman" w:hAnsi="Times New Roman"/>
          <w:sz w:val="24"/>
        </w:rPr>
        <w:t xml:space="preserve">L'arrêt de fermeture de la gouttière </w:t>
      </w:r>
      <w:r>
        <w:rPr>
          <w:rFonts w:ascii="Times New Roman" w:hAnsi="Times New Roman"/>
          <w:sz w:val="24"/>
        </w:rPr>
        <w:t>uretrale</w:t>
      </w:r>
      <w:r>
        <w:rPr>
          <w:rFonts w:ascii="Times New Roman" w:hAnsi="Times New Roman"/>
          <w:sz w:val="24"/>
        </w:rPr>
        <w:t xml:space="preserve"> issue de la plaque </w:t>
      </w:r>
      <w:r>
        <w:rPr>
          <w:rFonts w:ascii="Times New Roman" w:hAnsi="Times New Roman"/>
          <w:sz w:val="24"/>
        </w:rPr>
        <w:t>uretrale</w:t>
      </w:r>
      <w:r>
        <w:rPr>
          <w:rFonts w:ascii="Times New Roman" w:hAnsi="Times New Roman"/>
          <w:sz w:val="24"/>
        </w:rPr>
        <w:t xml:space="preserve"> qui doit se fermer d'arrière en avant</w:t>
      </w:r>
    </w:p>
    <w:p>
      <w:pPr>
        <w:pStyle w:val="NoSpacing"/>
        <w:spacing w:line="360" w:lineRule="auto"/>
        <w:numPr>
          <w:ilvl w:val="0"/>
          <w:numId w:val="19"/>
        </w:numPr>
      </w:pPr>
      <w:r>
        <w:rPr>
          <w:rFonts w:ascii="Times New Roman" w:hAnsi="Times New Roman"/>
          <w:sz w:val="24"/>
        </w:rPr>
        <w:t xml:space="preserve">Un défaut de fermeture des replis cutanés dorsaux responsable d'un </w:t>
      </w:r>
      <w:r>
        <w:rPr>
          <w:rFonts w:ascii="Times New Roman" w:hAnsi="Times New Roman"/>
          <w:sz w:val="24"/>
        </w:rPr>
        <w:t>prepuce</w:t>
      </w:r>
      <w:r>
        <w:rPr>
          <w:rFonts w:ascii="Times New Roman" w:hAnsi="Times New Roman"/>
          <w:sz w:val="24"/>
        </w:rPr>
        <w:t xml:space="preserve"> incomplet</w:t>
      </w:r>
    </w:p>
    <w:p>
      <w:pPr>
        <w:pStyle w:val="NoSpacing"/>
      </w:pPr>
    </w:p>
    <w:p>
      <w:pPr>
        <w:pStyle w:val="Heading3"/>
      </w:pPr>
      <w:r>
        <w:rPr/>
        <w:t>ETHIOPATHOGENIE</w:t>
      </w:r>
    </w:p>
    <w:p>
      <w:pPr/>
      <w:r>
        <w:rPr>
          <w:rFonts w:ascii="Times New Roman" w:hAnsi="Times New Roman"/>
        </w:rPr>
        <w:t>Multifactorielle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</w:t>
      </w:r>
    </w:p>
    <w:p>
      <w:pPr>
        <w:numPr>
          <w:ilvl w:val="0"/>
          <w:numId w:val="20"/>
        </w:numPr>
      </w:pPr>
      <w:r>
        <w:rPr>
          <w:rFonts w:ascii="Times New Roman" w:hAnsi="Times New Roman"/>
        </w:rPr>
        <w:t xml:space="preserve">Facteur génétique : un individu apparenté au premier degré (frère ou père) est affecté 25 ou 40 fois plus souvent que ce qui est attendu dans une population </w:t>
      </w:r>
      <w:r>
        <w:rPr>
          <w:rFonts w:ascii="Times New Roman" w:hAnsi="Times New Roman"/>
        </w:rPr>
        <w:t>générale</w:t>
      </w:r>
    </w:p>
    <w:p>
      <w:pPr>
        <w:numPr>
          <w:ilvl w:val="0"/>
          <w:numId w:val="20"/>
        </w:numPr>
      </w:pPr>
      <w:r>
        <w:rPr>
          <w:rFonts w:ascii="Times New Roman" w:hAnsi="Times New Roman"/>
        </w:rPr>
        <w:t>Rôle</w:t>
      </w:r>
      <w:r>
        <w:rPr>
          <w:rFonts w:ascii="Times New Roman" w:hAnsi="Times New Roman"/>
        </w:rPr>
        <w:t xml:space="preserve"> nocif d'un traitement progestatif au cours des premiers mois de la grossesse</w:t>
      </w:r>
    </w:p>
    <w:p>
      <w:pPr>
        <w:numPr>
          <w:ilvl w:val="0"/>
          <w:numId w:val="20"/>
        </w:numPr>
      </w:pPr>
      <w:r>
        <w:rPr>
          <w:rFonts w:ascii="Times New Roman" w:hAnsi="Times New Roman"/>
        </w:rPr>
        <w:t>Rôle</w:t>
      </w:r>
      <w:r>
        <w:rPr>
          <w:rFonts w:ascii="Times New Roman" w:hAnsi="Times New Roman"/>
        </w:rPr>
        <w:t xml:space="preserve"> des défauts de synthèse de la testostérone ou de sa transformation en </w:t>
      </w:r>
      <w:r>
        <w:rPr>
          <w:rFonts w:ascii="Times New Roman" w:hAnsi="Times New Roman"/>
        </w:rPr>
        <w:t>dihydrotestostérone</w:t>
      </w:r>
      <w:r>
        <w:rPr>
          <w:rFonts w:ascii="Times New Roman" w:hAnsi="Times New Roman"/>
        </w:rPr>
        <w:t xml:space="preserve"> voire d'une altération des récepteurs tissulaires périphériques aux </w:t>
      </w:r>
      <w:r>
        <w:rPr>
          <w:rFonts w:ascii="Times New Roman" w:hAnsi="Times New Roman"/>
        </w:rPr>
        <w:t>androgènes</w:t>
      </w:r>
    </w:p>
    <w:p>
      <w:pPr/>
    </w:p>
    <w:p>
      <w:pPr>
        <w:pStyle w:val="Heading3"/>
      </w:pPr>
      <w:r>
        <w:rPr/>
        <w:t>ANATOMIE PATHOLOGIQUE</w:t>
      </w:r>
    </w:p>
    <w:p>
      <w:pPr>
        <w:pStyle w:val="NoSpacing"/>
        <w:spacing w:line="360" w:lineRule="auto"/>
      </w:pPr>
      <w:r>
        <w:rPr>
          <w:rFonts w:ascii="Times New Roman" w:hAnsi="Times New Roman"/>
          <w:sz w:val="24"/>
        </w:rPr>
        <w:t>Plusieurs anomalies associées :</w:t>
      </w:r>
    </w:p>
    <w:p>
      <w:pPr>
        <w:pStyle w:val="NoSpacing"/>
        <w:spacing w:line="360" w:lineRule="auto"/>
        <w:numPr>
          <w:ilvl w:val="0"/>
          <w:numId w:val="21"/>
        </w:numPr>
      </w:pPr>
      <w:r>
        <w:rPr>
          <w:rFonts w:ascii="Times New Roman" w:hAnsi="Times New Roman"/>
          <w:sz w:val="24"/>
        </w:rPr>
        <w:t xml:space="preserve">Ectopie du méat </w:t>
      </w:r>
    </w:p>
    <w:p>
      <w:pPr>
        <w:pStyle w:val="NoSpacing"/>
        <w:spacing w:line="360" w:lineRule="auto"/>
        <w:numPr>
          <w:ilvl w:val="0"/>
          <w:numId w:val="21"/>
        </w:numPr>
      </w:pPr>
      <w:r>
        <w:rPr>
          <w:rFonts w:ascii="Times New Roman" w:hAnsi="Times New Roman"/>
          <w:sz w:val="24"/>
        </w:rPr>
        <w:t xml:space="preserve">Sténose du méat </w:t>
      </w:r>
    </w:p>
    <w:p>
      <w:pPr>
        <w:pStyle w:val="NoSpacing"/>
        <w:spacing w:line="360" w:lineRule="auto"/>
        <w:numPr>
          <w:ilvl w:val="0"/>
          <w:numId w:val="21"/>
        </w:numPr>
      </w:pPr>
      <w:r>
        <w:rPr>
          <w:rFonts w:ascii="Times New Roman" w:hAnsi="Times New Roman"/>
          <w:sz w:val="24"/>
        </w:rPr>
        <w:t>Courbure de la verge</w:t>
      </w:r>
    </w:p>
    <w:p>
      <w:pPr>
        <w:pStyle w:val="NoSpacing"/>
        <w:spacing w:line="360" w:lineRule="auto"/>
        <w:numPr>
          <w:ilvl w:val="0"/>
          <w:numId w:val="21"/>
        </w:numPr>
      </w:pPr>
      <w:r>
        <w:rPr>
          <w:rFonts w:ascii="Times New Roman" w:hAnsi="Times New Roman"/>
          <w:sz w:val="24"/>
        </w:rPr>
        <w:t>Deviation</w:t>
      </w:r>
      <w:r>
        <w:rPr>
          <w:rFonts w:ascii="Times New Roman" w:hAnsi="Times New Roman"/>
          <w:sz w:val="24"/>
        </w:rPr>
        <w:t xml:space="preserve"> du </w:t>
      </w:r>
      <w:r>
        <w:rPr>
          <w:rFonts w:ascii="Times New Roman" w:hAnsi="Times New Roman"/>
          <w:sz w:val="24"/>
        </w:rPr>
        <w:t>raphee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median</w:t>
      </w:r>
      <w:r>
        <w:rPr>
          <w:rFonts w:ascii="Times New Roman" w:hAnsi="Times New Roman"/>
          <w:sz w:val="24"/>
        </w:rPr>
        <w:t xml:space="preserve"> ou véritable torsion de la verge dans le sens anti-horaire, avec une amplitude dépassant rarement 45*</w:t>
      </w:r>
    </w:p>
    <w:p>
      <w:pPr>
        <w:pStyle w:val="NoSpacing"/>
        <w:spacing w:line="360" w:lineRule="auto"/>
        <w:numPr>
          <w:ilvl w:val="0"/>
          <w:numId w:val="21"/>
        </w:numPr>
      </w:pPr>
      <w:r>
        <w:rPr>
          <w:rFonts w:ascii="Times New Roman" w:hAnsi="Times New Roman"/>
          <w:sz w:val="24"/>
        </w:rPr>
        <w:t xml:space="preserve">Enlisement de la verge dans le </w:t>
      </w:r>
      <w:r>
        <w:rPr>
          <w:rFonts w:ascii="Times New Roman" w:hAnsi="Times New Roman"/>
          <w:sz w:val="24"/>
        </w:rPr>
        <w:t>scrotum:</w:t>
      </w:r>
    </w:p>
    <w:p>
      <w:pPr>
        <w:pStyle w:val="NoSpacing"/>
        <w:spacing w:line="360" w:lineRule="auto"/>
        <w:numPr>
          <w:ilvl w:val="1"/>
          <w:numId w:val="21"/>
        </w:numPr>
      </w:pPr>
      <w:r>
        <w:rPr>
          <w:rFonts w:ascii="Times New Roman" w:hAnsi="Times New Roman"/>
          <w:sz w:val="24"/>
        </w:rPr>
        <w:t>Présence de peau scrotale remontant plus ou moins haut sur le fourreau de la verge pouvant réaliser une véritable palmure</w:t>
      </w:r>
    </w:p>
    <w:p>
      <w:pPr>
        <w:pStyle w:val="NoSpacing"/>
        <w:spacing w:line="360" w:lineRule="auto"/>
        <w:numPr>
          <w:ilvl w:val="1"/>
          <w:numId w:val="21"/>
        </w:numPr>
      </w:pPr>
      <w:r>
        <w:rPr>
          <w:rFonts w:ascii="Times New Roman" w:hAnsi="Times New Roman"/>
          <w:sz w:val="24"/>
        </w:rPr>
        <w:t>L'enlisement est rarement total, auquel cas seule la face dorsale de la verge est visible, sa face inférieure étant totalement enfouie dans le scrotum</w:t>
      </w:r>
    </w:p>
    <w:p>
      <w:pPr>
        <w:pStyle w:val="NoSpacing"/>
        <w:spacing w:line="360" w:lineRule="auto"/>
        <w:numPr>
          <w:ilvl w:val="0"/>
          <w:numId w:val="21"/>
        </w:numPr>
      </w:pPr>
      <w:r>
        <w:rPr>
          <w:rFonts w:ascii="Times New Roman" w:hAnsi="Times New Roman"/>
          <w:sz w:val="24"/>
        </w:rPr>
        <w:t xml:space="preserve">Hypoplasie du corps caverneux responsable d'un </w:t>
      </w:r>
      <w:r>
        <w:rPr>
          <w:rFonts w:ascii="Times New Roman" w:hAnsi="Times New Roman"/>
          <w:b/>
          <w:sz w:val="24"/>
        </w:rPr>
        <w:t>micropenis</w:t>
      </w:r>
    </w:p>
    <w:p>
      <w:pPr>
        <w:pStyle w:val="NoSpacing"/>
        <w:spacing w:line="360" w:lineRule="auto"/>
      </w:pPr>
    </w:p>
    <w:p>
      <w:pPr>
        <w:pStyle w:val="Heading2"/>
      </w:pPr>
      <w:r>
        <w:rPr/>
        <w:t>CLASSIFICATION</w:t>
      </w:r>
    </w:p>
    <w:p>
      <w:pPr>
        <w:pStyle w:val="NoSpacing"/>
        <w:spacing w:line="360" w:lineRule="auto"/>
      </w:pPr>
      <w:r>
        <w:rPr>
          <w:rFonts w:ascii="Times New Roman" w:hAnsi="Times New Roman"/>
          <w:sz w:val="24"/>
        </w:rPr>
        <w:tab/>
        <w:t xml:space="preserve">Selon l'abouchement du méat, on </w:t>
      </w:r>
      <w:r>
        <w:rPr>
          <w:rFonts w:ascii="Times New Roman" w:hAnsi="Times New Roman"/>
          <w:sz w:val="24"/>
        </w:rPr>
        <w:t>distingue :</w:t>
      </w:r>
    </w:p>
    <w:p>
      <w:pPr>
        <w:pStyle w:val="NoSpacing"/>
        <w:spacing w:line="360" w:lineRule="auto"/>
        <w:numPr>
          <w:ilvl w:val="0"/>
          <w:numId w:val="22"/>
        </w:numPr>
      </w:pPr>
      <w:r>
        <w:rPr>
          <w:rFonts w:ascii="Times New Roman" w:hAnsi="Times New Roman"/>
          <w:b/>
          <w:sz w:val="24"/>
        </w:rPr>
        <w:t>L'hypospadias antérieur</w:t>
      </w:r>
      <w:r>
        <w:rPr>
          <w:rFonts w:ascii="Times New Roman" w:hAnsi="Times New Roman"/>
          <w:sz w:val="24"/>
        </w:rPr>
        <w:t>, qui regroupe les formes</w:t>
      </w:r>
    </w:p>
    <w:p>
      <w:pPr>
        <w:pStyle w:val="NoSpacing"/>
        <w:spacing w:line="360" w:lineRule="auto"/>
        <w:numPr>
          <w:ilvl w:val="1"/>
          <w:numId w:val="22"/>
        </w:numPr>
      </w:pPr>
      <w:r>
        <w:rPr>
          <w:rFonts w:ascii="Times New Roman" w:hAnsi="Times New Roman"/>
          <w:sz w:val="24"/>
        </w:rPr>
        <w:t>Balaniques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 xml:space="preserve">méat à la face inférieure du gland) </w:t>
      </w:r>
    </w:p>
    <w:p>
      <w:pPr>
        <w:pStyle w:val="NoSpacing"/>
        <w:spacing w:line="360" w:lineRule="auto"/>
        <w:numPr>
          <w:ilvl w:val="1"/>
          <w:numId w:val="22"/>
        </w:numPr>
      </w:pPr>
      <w:r>
        <w:rPr>
          <w:rFonts w:ascii="Times New Roman" w:hAnsi="Times New Roman"/>
          <w:sz w:val="24"/>
        </w:rPr>
        <w:t>Balanopréputiales (</w:t>
      </w:r>
      <w:r>
        <w:rPr>
          <w:rFonts w:ascii="Times New Roman" w:hAnsi="Times New Roman"/>
          <w:sz w:val="24"/>
        </w:rPr>
        <w:t xml:space="preserve">méat dans le sillon </w:t>
      </w:r>
      <w:r>
        <w:rPr>
          <w:rFonts w:ascii="Times New Roman" w:hAnsi="Times New Roman"/>
          <w:sz w:val="24"/>
        </w:rPr>
        <w:t>balanopréputial</w:t>
      </w:r>
      <w:r>
        <w:rPr>
          <w:rFonts w:ascii="Times New Roman" w:hAnsi="Times New Roman"/>
          <w:sz w:val="24"/>
        </w:rPr>
        <w:t xml:space="preserve">) </w:t>
      </w:r>
    </w:p>
    <w:p>
      <w:pPr>
        <w:pStyle w:val="NoSpacing"/>
        <w:spacing w:line="360" w:lineRule="auto"/>
        <w:numPr>
          <w:ilvl w:val="1"/>
          <w:numId w:val="22"/>
        </w:numPr>
      </w:pPr>
      <w:r>
        <w:rPr>
          <w:rFonts w:ascii="Times New Roman" w:hAnsi="Times New Roman"/>
          <w:sz w:val="24"/>
        </w:rPr>
        <w:t>Péniennes</w:t>
      </w:r>
      <w:r>
        <w:rPr>
          <w:rFonts w:ascii="Times New Roman" w:hAnsi="Times New Roman"/>
          <w:sz w:val="24"/>
        </w:rPr>
        <w:t xml:space="preserve"> antérieures </w:t>
      </w:r>
    </w:p>
    <w:p>
      <w:pPr>
        <w:pStyle w:val="NoSpacing"/>
        <w:spacing w:line="360" w:lineRule="auto"/>
        <w:numPr>
          <w:ilvl w:val="0"/>
          <w:numId w:val="22"/>
        </w:numPr>
      </w:pPr>
      <w:r>
        <w:rPr>
          <w:rFonts w:ascii="Times New Roman" w:hAnsi="Times New Roman"/>
          <w:b/>
          <w:sz w:val="24"/>
        </w:rPr>
        <w:t xml:space="preserve">L'hypospadias </w:t>
      </w:r>
      <w:r>
        <w:rPr>
          <w:rFonts w:ascii="Times New Roman" w:hAnsi="Times New Roman"/>
          <w:b/>
          <w:sz w:val="24"/>
        </w:rPr>
        <w:t>pénien</w:t>
      </w:r>
      <w:r>
        <w:rPr>
          <w:rFonts w:ascii="Times New Roman" w:hAnsi="Times New Roman"/>
          <w:b/>
          <w:sz w:val="24"/>
        </w:rPr>
        <w:t xml:space="preserve"> moyen</w:t>
      </w:r>
    </w:p>
    <w:p>
      <w:pPr>
        <w:pStyle w:val="NoSpacing"/>
        <w:spacing w:line="360" w:lineRule="auto"/>
        <w:numPr>
          <w:ilvl w:val="0"/>
          <w:numId w:val="22"/>
        </w:numPr>
      </w:pPr>
      <w:r>
        <w:rPr>
          <w:rFonts w:ascii="Times New Roman" w:hAnsi="Times New Roman"/>
          <w:b/>
          <w:sz w:val="24"/>
        </w:rPr>
        <w:t>L'hypospadias postérieur</w:t>
      </w:r>
      <w:r>
        <w:rPr>
          <w:rFonts w:ascii="Times New Roman" w:hAnsi="Times New Roman"/>
          <w:sz w:val="24"/>
        </w:rPr>
        <w:t xml:space="preserve"> regroupe les formes</w:t>
      </w:r>
    </w:p>
    <w:p>
      <w:pPr>
        <w:pStyle w:val="NoSpacing"/>
        <w:spacing w:line="360" w:lineRule="auto"/>
        <w:numPr>
          <w:ilvl w:val="1"/>
          <w:numId w:val="22"/>
        </w:numPr>
      </w:pPr>
      <w:r>
        <w:rPr>
          <w:rFonts w:ascii="Times New Roman" w:hAnsi="Times New Roman"/>
          <w:sz w:val="24"/>
        </w:rPr>
        <w:t>Péniennes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postérieures</w:t>
      </w:r>
    </w:p>
    <w:p>
      <w:pPr>
        <w:pStyle w:val="NoSpacing"/>
        <w:spacing w:line="360" w:lineRule="auto"/>
        <w:numPr>
          <w:ilvl w:val="1"/>
          <w:numId w:val="22"/>
        </w:numPr>
      </w:pPr>
      <w:r>
        <w:rPr>
          <w:rFonts w:ascii="Times New Roman" w:hAnsi="Times New Roman"/>
          <w:sz w:val="24"/>
        </w:rPr>
        <w:t>Peno-scrotales</w:t>
      </w:r>
    </w:p>
    <w:p>
      <w:pPr>
        <w:pStyle w:val="NoSpacing"/>
        <w:spacing w:line="360" w:lineRule="auto"/>
        <w:numPr>
          <w:ilvl w:val="1"/>
          <w:numId w:val="22"/>
        </w:numPr>
      </w:pPr>
      <w:r>
        <w:rPr>
          <w:rFonts w:ascii="Times New Roman" w:hAnsi="Times New Roman"/>
          <w:sz w:val="24"/>
        </w:rPr>
        <w:t>Scrotales</w:t>
      </w:r>
    </w:p>
    <w:p>
      <w:pPr>
        <w:pStyle w:val="NoSpacing"/>
        <w:spacing w:line="360" w:lineRule="auto"/>
        <w:numPr>
          <w:ilvl w:val="1"/>
          <w:numId w:val="22"/>
        </w:numPr>
      </w:pPr>
      <w:r>
        <w:rPr>
          <w:rFonts w:ascii="Times New Roman" w:hAnsi="Times New Roman"/>
          <w:sz w:val="24"/>
        </w:rPr>
        <w:t>Périnéales</w:t>
      </w:r>
    </w:p>
    <w:p>
      <w:pPr>
        <w:pStyle w:val="NoSpacing"/>
      </w:pPr>
    </w:p>
    <w:p>
      <w:pPr>
        <w:pStyle w:val="NoSpacing"/>
      </w:pPr>
    </w:p>
    <w:p>
      <w:pPr>
        <w:pStyle w:val="NoSpacing"/>
      </w:pPr>
      <w:r>
        <w:drawing>
          <wp:inline xmlns:a="http://schemas.openxmlformats.org/drawingml/2006/main" xmlns:pic="http://schemas.openxmlformats.org/drawingml/2006/picture">
            <wp:extent cx="22237700" cy="1557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0" cy="1557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  <w:r>
        <w:rPr>
          <w:rFonts w:ascii="Times New Roman" w:hAnsi="Times New Roman"/>
          <w:sz w:val="24"/>
        </w:rPr>
        <w:t xml:space="preserve"> </w:t>
      </w: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Heading2"/>
      </w:pPr>
      <w:r>
        <w:rPr/>
        <w:t>CONSEQUENCES</w:t>
      </w:r>
    </w:p>
    <w:p>
      <w:pPr>
        <w:pStyle w:val="NoSpacing"/>
        <w:spacing w:line="360" w:lineRule="auto"/>
        <w:numPr>
          <w:ilvl w:val="0"/>
          <w:numId w:val="23"/>
        </w:numPr>
      </w:pPr>
      <w:r>
        <w:rPr>
          <w:rFonts w:ascii="Times New Roman" w:hAnsi="Times New Roman"/>
          <w:sz w:val="24"/>
        </w:rPr>
        <w:t xml:space="preserve">Impossibilité de jet mictionnel droit </w:t>
      </w:r>
    </w:p>
    <w:p>
      <w:pPr>
        <w:pStyle w:val="NoSpacing"/>
        <w:spacing w:line="360" w:lineRule="auto"/>
        <w:numPr>
          <w:ilvl w:val="0"/>
          <w:numId w:val="23"/>
        </w:numPr>
      </w:pPr>
      <w:r>
        <w:rPr>
          <w:rFonts w:ascii="Times New Roman" w:hAnsi="Times New Roman"/>
        </w:rPr>
        <w:t>Gene important à la copulation</w:t>
      </w:r>
    </w:p>
    <w:p>
      <w:pPr>
        <w:pStyle w:val="NoSpacing"/>
        <w:spacing w:line="360" w:lineRule="auto"/>
        <w:numPr>
          <w:ilvl w:val="0"/>
          <w:numId w:val="23"/>
        </w:numPr>
      </w:pPr>
      <w:r>
        <w:rPr>
          <w:rFonts w:ascii="Times New Roman" w:hAnsi="Times New Roman"/>
        </w:rPr>
        <w:t xml:space="preserve">Impossibilité de conception si courbure et enlisement marqués et pour les formes </w:t>
      </w:r>
      <w:r>
        <w:rPr>
          <w:rFonts w:ascii="Times New Roman" w:hAnsi="Times New Roman"/>
        </w:rPr>
        <w:t>posterieures</w:t>
      </w:r>
      <w:r>
        <w:rPr>
          <w:rFonts w:ascii="Times New Roman" w:hAnsi="Times New Roman"/>
        </w:rPr>
        <w:t xml:space="preserve"> </w:t>
      </w:r>
    </w:p>
    <w:p>
      <w:pPr>
        <w:pStyle w:val="NoSpacing"/>
      </w:pP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BUTS:</w:t>
      </w:r>
    </w:p>
    <w:p>
      <w:pPr>
        <w:pStyle w:val="NoSpacing"/>
        <w:spacing w:line="360" w:lineRule="auto"/>
        <w:numPr>
          <w:ilvl w:val="1"/>
          <w:numId w:val="24"/>
        </w:numPr>
      </w:pPr>
      <w:r>
        <w:rPr>
          <w:rFonts w:ascii="Times New Roman" w:hAnsi="Times New Roman"/>
          <w:sz w:val="24"/>
        </w:rPr>
        <w:t xml:space="preserve">Reconstruction d'un conduit </w:t>
      </w:r>
      <w:r>
        <w:rPr>
          <w:rFonts w:ascii="Times New Roman" w:hAnsi="Times New Roman"/>
          <w:sz w:val="24"/>
        </w:rPr>
        <w:t>uretral</w:t>
      </w:r>
      <w:r>
        <w:rPr>
          <w:rFonts w:ascii="Times New Roman" w:hAnsi="Times New Roman"/>
          <w:sz w:val="24"/>
        </w:rPr>
        <w:t xml:space="preserve"> suffisamment large et sans fistule</w:t>
      </w:r>
    </w:p>
    <w:p>
      <w:pPr>
        <w:pStyle w:val="NoSpacing"/>
        <w:spacing w:line="360" w:lineRule="auto"/>
        <w:numPr>
          <w:ilvl w:val="1"/>
          <w:numId w:val="24"/>
        </w:numPr>
      </w:pPr>
      <w:r>
        <w:rPr>
          <w:rFonts w:ascii="Times New Roman" w:hAnsi="Times New Roman"/>
          <w:sz w:val="24"/>
        </w:rPr>
        <w:t>Redressement de la verge</w:t>
      </w:r>
    </w:p>
    <w:p>
      <w:pPr>
        <w:pStyle w:val="NoSpacing"/>
        <w:spacing w:line="360" w:lineRule="auto"/>
      </w:pPr>
    </w:p>
    <w:p>
      <w:pPr>
        <w:pStyle w:val="Heading3"/>
      </w:pPr>
      <w:r>
        <w:rPr/>
        <w:t>MOYENS</w:t>
      </w:r>
    </w:p>
    <w:p>
      <w:pPr>
        <w:pStyle w:val="NoSpacing"/>
        <w:spacing w:line="360" w:lineRule="auto"/>
        <w:numPr>
          <w:ilvl w:val="1"/>
          <w:numId w:val="24"/>
        </w:numPr>
      </w:pPr>
      <w:r>
        <w:rPr>
          <w:rFonts w:ascii="Times New Roman" w:hAnsi="Times New Roman"/>
          <w:sz w:val="24"/>
        </w:rPr>
        <w:t xml:space="preserve">Médical : pour la correction préalable de l'hypotrophie du </w:t>
      </w:r>
      <w:r>
        <w:rPr>
          <w:rFonts w:ascii="Times New Roman" w:hAnsi="Times New Roman"/>
          <w:sz w:val="24"/>
        </w:rPr>
        <w:t>penis</w:t>
      </w:r>
    </w:p>
    <w:p>
      <w:pPr>
        <w:pStyle w:val="NoSpacing"/>
        <w:spacing w:line="360" w:lineRule="auto"/>
        <w:numPr>
          <w:ilvl w:val="1"/>
          <w:numId w:val="24"/>
        </w:numPr>
      </w:pPr>
      <w:r>
        <w:rPr>
          <w:rFonts w:ascii="Times New Roman" w:hAnsi="Times New Roman"/>
          <w:sz w:val="24"/>
        </w:rPr>
        <w:t>Chirurgical: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uretroplastie</w:t>
      </w:r>
    </w:p>
    <w:p>
      <w:pPr>
        <w:pStyle w:val="NoSpacing"/>
      </w:pPr>
    </w:p>
    <w:p>
      <w:pPr>
        <w:pStyle w:val="NoSpacing"/>
        <w:spacing w:line="360" w:lineRule="auto"/>
        <w:ind w:left="720" w:firstLine="720"/>
      </w:pPr>
      <w:r>
        <w:rPr>
          <w:rFonts w:ascii="Times New Roman" w:hAnsi="Times New Roman"/>
          <w:b/>
          <w:sz w:val="24"/>
        </w:rPr>
        <w:t xml:space="preserve">URETROPLASTIE </w:t>
      </w:r>
      <w:r>
        <w:rPr>
          <w:rFonts w:ascii="Times New Roman" w:hAnsi="Times New Roman"/>
          <w:b/>
          <w:color w:val="FF0000"/>
          <w:sz w:val="24"/>
        </w:rPr>
        <w:t>27/10/2021</w:t>
      </w:r>
    </w:p>
    <w:p>
      <w:pPr>
        <w:pStyle w:val="NoSpacing"/>
        <w:spacing w:line="360" w:lineRule="auto"/>
        <w:numPr>
          <w:ilvl w:val="0"/>
          <w:numId w:val="25"/>
        </w:numPr>
      </w:pPr>
      <w:r>
        <w:rPr>
          <w:rFonts w:ascii="Times New Roman" w:hAnsi="Times New Roman"/>
          <w:sz w:val="24"/>
        </w:rPr>
        <w:t xml:space="preserve">Plusieurs techniques en fonction de la localisation du méat </w:t>
      </w:r>
    </w:p>
    <w:p>
      <w:pPr>
        <w:pStyle w:val="Heading4"/>
      </w:pPr>
      <w:r>
        <w:rPr/>
        <w:t>Principe:</w:t>
      </w:r>
    </w:p>
    <w:p>
      <w:pPr>
        <w:pStyle w:val="NoSpacing"/>
        <w:spacing w:line="360" w:lineRule="auto"/>
        <w:numPr>
          <w:ilvl w:val="1"/>
          <w:numId w:val="25"/>
        </w:numPr>
      </w:pPr>
      <w:r>
        <w:rPr>
          <w:rFonts w:ascii="Times New Roman" w:hAnsi="Times New Roman"/>
          <w:sz w:val="24"/>
        </w:rPr>
        <w:t>Tubuliser</w:t>
      </w:r>
      <w:r>
        <w:rPr>
          <w:rFonts w:ascii="Times New Roman" w:hAnsi="Times New Roman"/>
          <w:sz w:val="24"/>
        </w:rPr>
        <w:t xml:space="preserve"> la plaque </w:t>
      </w:r>
      <w:r>
        <w:rPr>
          <w:rFonts w:ascii="Times New Roman" w:hAnsi="Times New Roman"/>
          <w:sz w:val="24"/>
        </w:rPr>
        <w:t>uretrale</w:t>
      </w:r>
      <w:r>
        <w:rPr>
          <w:rFonts w:ascii="Times New Roman" w:hAnsi="Times New Roman"/>
          <w:sz w:val="24"/>
        </w:rPr>
        <w:t xml:space="preserve">. Si longueur insuffisante, apporter d'autres </w:t>
      </w:r>
      <w:r>
        <w:rPr>
          <w:rFonts w:ascii="Times New Roman" w:hAnsi="Times New Roman"/>
          <w:sz w:val="24"/>
        </w:rPr>
        <w:t>tissus(</w:t>
      </w:r>
      <w:r>
        <w:rPr>
          <w:rFonts w:ascii="Times New Roman" w:hAnsi="Times New Roman"/>
          <w:sz w:val="24"/>
        </w:rPr>
        <w:t xml:space="preserve">muqueuse buccale ou </w:t>
      </w:r>
      <w:r>
        <w:rPr>
          <w:rFonts w:ascii="Times New Roman" w:hAnsi="Times New Roman"/>
          <w:sz w:val="24"/>
        </w:rPr>
        <w:t>vesicale</w:t>
      </w:r>
      <w:r>
        <w:rPr>
          <w:rFonts w:ascii="Times New Roman" w:hAnsi="Times New Roman"/>
          <w:sz w:val="24"/>
        </w:rPr>
        <w:t xml:space="preserve">) </w:t>
      </w:r>
    </w:p>
    <w:p>
      <w:pPr>
        <w:pStyle w:val="NoSpacing"/>
        <w:spacing w:line="360" w:lineRule="auto"/>
        <w:numPr>
          <w:ilvl w:val="1"/>
          <w:numId w:val="25"/>
        </w:numPr>
      </w:pPr>
      <w:r>
        <w:rPr>
          <w:rFonts w:ascii="Times New Roman" w:hAnsi="Times New Roman"/>
          <w:sz w:val="24"/>
        </w:rPr>
        <w:t xml:space="preserve">Recouvrir le </w:t>
      </w:r>
      <w:r>
        <w:rPr>
          <w:rFonts w:ascii="Times New Roman" w:hAnsi="Times New Roman"/>
          <w:sz w:val="24"/>
        </w:rPr>
        <w:t>neo-uretre</w:t>
      </w:r>
      <w:r>
        <w:rPr>
          <w:rFonts w:ascii="Times New Roman" w:hAnsi="Times New Roman"/>
          <w:sz w:val="24"/>
        </w:rPr>
        <w:t xml:space="preserve"> avec un 2e plan (</w:t>
      </w:r>
      <w:r>
        <w:rPr>
          <w:rFonts w:ascii="Times New Roman" w:hAnsi="Times New Roman"/>
          <w:sz w:val="24"/>
        </w:rPr>
        <w:t>spongioplastie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qui utilise le corps spongieux, </w:t>
      </w:r>
      <w:r>
        <w:rPr>
          <w:rFonts w:ascii="Times New Roman" w:hAnsi="Times New Roman"/>
          <w:sz w:val="24"/>
        </w:rPr>
        <w:t xml:space="preserve">lame porte-vaisseaux </w:t>
      </w:r>
      <w:r>
        <w:rPr>
          <w:rFonts w:ascii="Times New Roman" w:hAnsi="Times New Roman"/>
          <w:sz w:val="24"/>
        </w:rPr>
        <w:t>prepuciale</w:t>
      </w:r>
      <w:r>
        <w:rPr>
          <w:rFonts w:ascii="Times New Roman" w:hAnsi="Times New Roman"/>
          <w:sz w:val="24"/>
        </w:rPr>
        <w:t xml:space="preserve">) </w:t>
      </w:r>
    </w:p>
    <w:p>
      <w:pPr>
        <w:pStyle w:val="NoSpacing"/>
        <w:spacing w:line="360" w:lineRule="auto"/>
        <w:numPr>
          <w:ilvl w:val="1"/>
          <w:numId w:val="25"/>
        </w:numPr>
      </w:pPr>
      <w:r>
        <w:rPr>
          <w:rFonts w:ascii="Times New Roman" w:hAnsi="Times New Roman"/>
          <w:sz w:val="24"/>
        </w:rPr>
        <w:t>Laisser en place une sonde tutrice jusqu'à la cicatrisation (</w:t>
      </w:r>
      <w:r>
        <w:rPr>
          <w:rFonts w:ascii="Times New Roman" w:hAnsi="Times New Roman"/>
          <w:i/>
          <w:sz w:val="24"/>
        </w:rPr>
        <w:t>7-10j)</w:t>
      </w:r>
    </w:p>
    <w:p>
      <w:pPr>
        <w:pStyle w:val="NoSpacing"/>
        <w:spacing w:line="360" w:lineRule="auto"/>
        <w:numPr>
          <w:ilvl w:val="1"/>
          <w:numId w:val="25"/>
        </w:numPr>
      </w:pPr>
      <w:r>
        <w:rPr>
          <w:rFonts w:ascii="Times New Roman" w:hAnsi="Times New Roman"/>
          <w:sz w:val="24"/>
        </w:rPr>
        <w:t xml:space="preserve">Pansement compressif pour </w:t>
      </w:r>
      <w:r>
        <w:rPr>
          <w:rFonts w:ascii="Times New Roman" w:hAnsi="Times New Roman"/>
          <w:sz w:val="24"/>
        </w:rPr>
        <w:t>eviter</w:t>
      </w:r>
      <w:r>
        <w:rPr>
          <w:rFonts w:ascii="Times New Roman" w:hAnsi="Times New Roman"/>
          <w:sz w:val="24"/>
        </w:rPr>
        <w:t xml:space="preserve"> l'</w:t>
      </w:r>
      <w:r>
        <w:rPr>
          <w:rFonts w:ascii="Times New Roman" w:hAnsi="Times New Roman"/>
          <w:sz w:val="24"/>
        </w:rPr>
        <w:t>hematome</w:t>
      </w:r>
      <w:r>
        <w:rPr>
          <w:rFonts w:ascii="Times New Roman" w:hAnsi="Times New Roman"/>
          <w:sz w:val="24"/>
        </w:rPr>
        <w:t xml:space="preserve"> et limiter l'inflammation </w:t>
      </w:r>
      <w:r>
        <w:rPr>
          <w:rFonts w:ascii="Times New Roman" w:hAnsi="Times New Roman"/>
          <w:sz w:val="24"/>
        </w:rPr>
        <w:t>post-operatoire</w:t>
      </w:r>
    </w:p>
    <w:p>
      <w:pPr>
        <w:pStyle w:val="NoSpacing"/>
        <w:spacing w:line="360" w:lineRule="auto"/>
        <w:numPr>
          <w:ilvl w:val="1"/>
          <w:numId w:val="25"/>
        </w:numPr>
      </w:pPr>
      <w:r>
        <w:rPr>
          <w:rFonts w:ascii="Times New Roman" w:hAnsi="Times New Roman"/>
          <w:sz w:val="24"/>
        </w:rPr>
        <w:t xml:space="preserve">LE TRAITEMENT DOIT ETRE ACHEVE AVANT L'AGE </w:t>
      </w:r>
      <w:r>
        <w:rPr>
          <w:rFonts w:ascii="Times New Roman" w:hAnsi="Times New Roman"/>
          <w:sz w:val="24"/>
        </w:rPr>
        <w:t>SCOLAIRE(</w:t>
      </w:r>
      <w:r>
        <w:rPr>
          <w:rFonts w:ascii="Times New Roman" w:hAnsi="Times New Roman"/>
          <w:i/>
          <w:sz w:val="24"/>
        </w:rPr>
        <w:t xml:space="preserve">risque de </w:t>
      </w:r>
      <w:r>
        <w:rPr>
          <w:rFonts w:ascii="Times New Roman" w:hAnsi="Times New Roman"/>
          <w:i/>
          <w:sz w:val="24"/>
        </w:rPr>
        <w:t>sequelles</w:t>
      </w:r>
      <w:r>
        <w:rPr>
          <w:rFonts w:ascii="Times New Roman" w:hAnsi="Times New Roman"/>
          <w:i/>
          <w:sz w:val="24"/>
        </w:rPr>
        <w:t xml:space="preserve"> psychologiques) </w:t>
      </w:r>
    </w:p>
    <w:p>
      <w:pPr>
        <w:pStyle w:val="Heading4"/>
      </w:pPr>
      <w:r>
        <w:rPr/>
        <w:t>Résultats :</w:t>
      </w:r>
    </w:p>
    <w:p>
      <w:pPr>
        <w:pStyle w:val="NoSpacing"/>
        <w:spacing w:line="360" w:lineRule="auto"/>
        <w:numPr>
          <w:ilvl w:val="1"/>
          <w:numId w:val="25"/>
        </w:numPr>
      </w:pPr>
      <w:r>
        <w:rPr>
          <w:rFonts w:ascii="Times New Roman" w:hAnsi="Times New Roman"/>
          <w:sz w:val="24"/>
        </w:rPr>
        <w:t xml:space="preserve">Excellents pour les formes </w:t>
      </w:r>
      <w:r>
        <w:rPr>
          <w:rFonts w:ascii="Times New Roman" w:hAnsi="Times New Roman"/>
          <w:sz w:val="24"/>
        </w:rPr>
        <w:t>anterieures</w:t>
      </w:r>
      <w:r>
        <w:rPr>
          <w:rFonts w:ascii="Times New Roman" w:hAnsi="Times New Roman"/>
          <w:sz w:val="24"/>
        </w:rPr>
        <w:t xml:space="preserve"> et moyennes sans coudure majeure</w:t>
      </w:r>
    </w:p>
    <w:p>
      <w:pPr>
        <w:pStyle w:val="NoSpacing"/>
        <w:spacing w:line="360" w:lineRule="auto"/>
        <w:numPr>
          <w:ilvl w:val="1"/>
          <w:numId w:val="25"/>
        </w:numPr>
      </w:pPr>
      <w:r>
        <w:rPr>
          <w:rFonts w:ascii="Times New Roman" w:hAnsi="Times New Roman"/>
          <w:sz w:val="24"/>
        </w:rPr>
        <w:t xml:space="preserve">Risque de fistule important pour les formes </w:t>
      </w:r>
      <w:r>
        <w:rPr>
          <w:rFonts w:ascii="Times New Roman" w:hAnsi="Times New Roman"/>
          <w:sz w:val="24"/>
        </w:rPr>
        <w:t>posterieures</w:t>
      </w:r>
      <w:r>
        <w:rPr>
          <w:rFonts w:ascii="Times New Roman" w:hAnsi="Times New Roman"/>
          <w:sz w:val="24"/>
        </w:rPr>
        <w:t xml:space="preserve"> et les formes avec coudures importantes, </w:t>
      </w:r>
      <w:r>
        <w:rPr>
          <w:rFonts w:ascii="Times New Roman" w:hAnsi="Times New Roman"/>
          <w:i/>
          <w:sz w:val="24"/>
        </w:rPr>
        <w:t>PARENTS A INFORMER</w:t>
      </w:r>
    </w:p>
    <w:p>
      <w:pPr>
        <w:pStyle w:val="NoSpacing"/>
        <w:spacing w:line="360" w:lineRule="auto"/>
        <w:numPr>
          <w:ilvl w:val="1"/>
          <w:numId w:val="25"/>
        </w:numPr>
      </w:pPr>
      <w:r>
        <w:rPr>
          <w:rFonts w:ascii="Times New Roman" w:hAnsi="Times New Roman"/>
          <w:sz w:val="24"/>
        </w:rPr>
        <w:t xml:space="preserve">Possibilité de </w:t>
      </w:r>
      <w:r>
        <w:rPr>
          <w:rFonts w:ascii="Times New Roman" w:hAnsi="Times New Roman"/>
          <w:sz w:val="24"/>
        </w:rPr>
        <w:t>retraction</w:t>
      </w:r>
      <w:r>
        <w:rPr>
          <w:rFonts w:ascii="Times New Roman" w:hAnsi="Times New Roman"/>
          <w:sz w:val="24"/>
        </w:rPr>
        <w:t>(sténose) pour les greffes de muqueuse</w:t>
      </w:r>
    </w:p>
    <w:p>
      <w:pPr>
        <w:pStyle w:val="NoSpacing"/>
      </w:pPr>
      <w:r>
        <w:rPr>
          <w:rFonts w:ascii="Times New Roman" w:hAnsi="Times New Roman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