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LAPAROSCHISIS</w:t>
      </w:r>
    </w:p>
    <w:p>
      <w:pPr>
        <w:pStyle w:val="Heading2"/>
      </w:pPr>
      <w:r>
        <w:rPr/>
        <w:t>Physiopathologie</w:t>
      </w:r>
    </w:p>
    <w:p>
      <w:pPr>
        <w:numPr>
          <w:ilvl w:val="1"/>
          <w:numId w:val="15"/>
        </w:numPr>
      </w:pPr>
      <w:r>
        <w:rPr>
          <w:rFonts w:ascii="Times New Roman" w:hAnsi="Times New Roman"/>
        </w:rPr>
        <w:t>Défaut de résorption pariétale au point d'entrée de la veine vitelline</w:t>
      </w:r>
    </w:p>
    <w:p>
      <w:pPr>
        <w:numPr>
          <w:ilvl w:val="1"/>
          <w:numId w:val="15"/>
        </w:numPr>
      </w:pPr>
      <w:r>
        <w:rPr>
          <w:rFonts w:ascii="Times New Roman" w:hAnsi="Times New Roman"/>
        </w:rPr>
        <w:t>Contemporain de la réintégration de l'anse intestinale primitive</w:t>
      </w:r>
    </w:p>
    <w:p>
      <w:pPr>
        <w:numPr>
          <w:ilvl w:val="1"/>
          <w:numId w:val="15"/>
        </w:numPr>
      </w:pPr>
      <w:r>
        <w:rPr>
          <w:rFonts w:ascii="Times New Roman" w:hAnsi="Times New Roman"/>
        </w:rPr>
        <w:t>Par le défect pariétal, l'anse intestinale s'éviscère, baigne dans le LA</w:t>
      </w:r>
    </w:p>
    <w:p>
      <w:pPr>
        <w:numPr>
          <w:ilvl w:val="1"/>
          <w:numId w:val="15"/>
        </w:numPr>
      </w:pPr>
      <w:r>
        <w:rPr>
          <w:rFonts w:ascii="Times New Roman" w:hAnsi="Times New Roman"/>
        </w:rPr>
        <w:t>Grêle extériorisée :</w:t>
      </w:r>
      <w:r>
        <w:rPr>
          <w:rFonts w:ascii="Times New Roman" w:hAnsi="Times New Roman"/>
        </w:rPr>
        <w:t xml:space="preserve"> agglutiné, plus court et recouvert d'une membrane acellulaire</w:t>
      </w:r>
    </w:p>
    <w:p>
      <w:pPr>
        <w:numPr>
          <w:ilvl w:val="1"/>
          <w:numId w:val="15"/>
        </w:numPr>
      </w:pPr>
      <w:r>
        <w:rPr>
          <w:rFonts w:ascii="Times New Roman" w:hAnsi="Times New Roman"/>
        </w:rPr>
        <w:t>Défect étroit (10-20mm) de la paroi abdominale</w:t>
      </w:r>
    </w:p>
    <w:p>
      <w:pPr>
        <w:numPr>
          <w:ilvl w:val="1"/>
          <w:numId w:val="15"/>
        </w:numPr>
      </w:pPr>
      <w:r>
        <w:rPr>
          <w:rFonts w:ascii="Times New Roman" w:hAnsi="Times New Roman"/>
        </w:rPr>
        <w:t>Para-ombilical, latéralisé à droite</w:t>
      </w:r>
    </w:p>
    <w:p>
      <w:pPr>
        <w:numPr>
          <w:ilvl w:val="1"/>
          <w:numId w:val="15"/>
        </w:numPr>
      </w:pPr>
      <w:r>
        <w:rPr>
          <w:rFonts w:ascii="Times New Roman" w:hAnsi="Times New Roman"/>
        </w:rPr>
        <w:t>Cordon ombilical</w:t>
      </w:r>
      <w:r>
        <w:rPr>
          <w:rFonts w:ascii="Times New Roman" w:hAnsi="Times New Roman"/>
        </w:rPr>
        <w:t xml:space="preserve"> : normal</w:t>
      </w:r>
      <w:r>
        <w:rPr>
          <w:rFonts w:ascii="Times New Roman" w:hAnsi="Times New Roman"/>
        </w:rPr>
        <w:t>, séparé de l'orifice pariétal par un pont cutané intact</w:t>
      </w:r>
    </w:p>
    <w:p>
      <w:pPr>
        <w:numPr>
          <w:ilvl w:val="1"/>
          <w:numId w:val="15"/>
        </w:numPr>
      </w:pPr>
      <w:r>
        <w:rPr>
          <w:rFonts w:ascii="Times New Roman" w:hAnsi="Times New Roman"/>
        </w:rPr>
        <w:t xml:space="preserve">Lésions intestinales </w:t>
      </w:r>
      <w:r>
        <w:rPr>
          <w:rFonts w:ascii="Times New Roman" w:hAnsi="Times New Roman"/>
        </w:rPr>
        <w:t>associées :</w:t>
      </w:r>
    </w:p>
    <w:p>
      <w:pPr>
        <w:numPr>
          <w:ilvl w:val="2"/>
          <w:numId w:val="15"/>
        </w:numPr>
      </w:pPr>
      <w:r>
        <w:rPr>
          <w:rFonts w:ascii="Times New Roman" w:hAnsi="Times New Roman"/>
        </w:rPr>
        <w:t xml:space="preserve">Atrésie </w:t>
      </w:r>
      <w:r>
        <w:rPr>
          <w:rFonts w:ascii="Times New Roman" w:hAnsi="Times New Roman"/>
        </w:rPr>
        <w:t>de la grêle :</w:t>
      </w:r>
      <w:r>
        <w:rPr>
          <w:rFonts w:ascii="Times New Roman" w:hAnsi="Times New Roman"/>
        </w:rPr>
        <w:t xml:space="preserve"> 11%</w:t>
      </w:r>
    </w:p>
    <w:p>
      <w:pPr>
        <w:numPr>
          <w:ilvl w:val="2"/>
          <w:numId w:val="15"/>
        </w:numPr>
      </w:pPr>
      <w:r>
        <w:rPr>
          <w:rFonts w:ascii="Times New Roman" w:hAnsi="Times New Roman"/>
        </w:rPr>
        <w:t xml:space="preserve">Nécrose </w:t>
      </w:r>
      <w:r>
        <w:rPr>
          <w:rFonts w:ascii="Times New Roman" w:hAnsi="Times New Roman"/>
        </w:rPr>
        <w:t>iléale :</w:t>
      </w:r>
      <w:r>
        <w:rPr>
          <w:rFonts w:ascii="Times New Roman" w:hAnsi="Times New Roman"/>
        </w:rPr>
        <w:t xml:space="preserve"> 13%</w:t>
      </w:r>
    </w:p>
    <w:p>
      <w:pPr>
        <w:numPr>
          <w:ilvl w:val="2"/>
          <w:numId w:val="15"/>
        </w:numPr>
      </w:pPr>
      <w:r>
        <w:rPr>
          <w:rFonts w:ascii="Times New Roman" w:hAnsi="Times New Roman"/>
        </w:rPr>
        <w:t xml:space="preserve">Perforation </w:t>
      </w:r>
      <w:r>
        <w:rPr>
          <w:rFonts w:ascii="Times New Roman" w:hAnsi="Times New Roman"/>
        </w:rPr>
        <w:t>duodénale :</w:t>
      </w:r>
      <w:r>
        <w:rPr>
          <w:rFonts w:ascii="Times New Roman" w:hAnsi="Times New Roman"/>
        </w:rPr>
        <w:t xml:space="preserve"> 0,2%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 xml:space="preserve">Diagnostic </w:t>
      </w:r>
      <w:r>
        <w:rPr/>
        <w:t>anténatal</w:t>
      </w:r>
    </w:p>
    <w:p>
      <w:pPr>
        <w:numPr>
          <w:ilvl w:val="1"/>
          <w:numId w:val="16"/>
        </w:numPr>
      </w:pPr>
      <w:r>
        <w:rPr>
          <w:rFonts w:ascii="Times New Roman" w:hAnsi="Times New Roman"/>
        </w:rPr>
        <w:t xml:space="preserve">Examen échographique pour étude morphologique du </w:t>
      </w:r>
      <w:r>
        <w:rPr>
          <w:rFonts w:ascii="Times New Roman" w:hAnsi="Times New Roman"/>
        </w:rPr>
        <w:t>fœtus</w:t>
      </w:r>
    </w:p>
    <w:p>
      <w:pPr>
        <w:numPr>
          <w:ilvl w:val="2"/>
          <w:numId w:val="16"/>
        </w:numPr>
      </w:pPr>
      <w:r>
        <w:rPr>
          <w:rFonts w:ascii="Times New Roman" w:hAnsi="Times New Roman"/>
        </w:rPr>
        <w:t>Anses intestinales flottant librement dans le liquide amniotique</w:t>
      </w:r>
    </w:p>
    <w:p>
      <w:pPr>
        <w:numPr>
          <w:ilvl w:val="2"/>
          <w:numId w:val="16"/>
        </w:numPr>
      </w:pPr>
      <w:r>
        <w:rPr>
          <w:rFonts w:ascii="Times New Roman" w:hAnsi="Times New Roman"/>
        </w:rPr>
        <w:t>Oligoamnios, par contre, l'hydramnios est exceptionnel</w:t>
      </w:r>
    </w:p>
    <w:p>
      <w:pPr>
        <w:numPr>
          <w:ilvl w:val="1"/>
          <w:numId w:val="16"/>
        </w:numPr>
      </w:pPr>
      <w:r>
        <w:rPr>
          <w:rFonts w:ascii="Times New Roman" w:hAnsi="Times New Roman"/>
        </w:rPr>
        <w:t xml:space="preserve">La surveillance échographique prénatale </w:t>
      </w:r>
      <w:r>
        <w:rPr>
          <w:rFonts w:ascii="Times New Roman" w:hAnsi="Times New Roman"/>
        </w:rPr>
        <w:t>permet :</w:t>
      </w:r>
    </w:p>
    <w:p>
      <w:pPr>
        <w:numPr>
          <w:ilvl w:val="2"/>
          <w:numId w:val="16"/>
        </w:numPr>
      </w:pPr>
      <w:r>
        <w:rPr>
          <w:rFonts w:ascii="Times New Roman" w:hAnsi="Times New Roman"/>
        </w:rPr>
        <w:t xml:space="preserve">De </w:t>
      </w:r>
      <w:r>
        <w:rPr>
          <w:rFonts w:ascii="Times New Roman" w:hAnsi="Times New Roman"/>
        </w:rPr>
        <w:t>déceller</w:t>
      </w:r>
      <w:r>
        <w:rPr>
          <w:rFonts w:ascii="Times New Roman" w:hAnsi="Times New Roman"/>
        </w:rPr>
        <w:t xml:space="preserve"> un RCIU</w:t>
      </w:r>
    </w:p>
    <w:p>
      <w:pPr>
        <w:numPr>
          <w:ilvl w:val="2"/>
          <w:numId w:val="16"/>
        </w:numPr>
      </w:pPr>
      <w:r>
        <w:rPr>
          <w:rFonts w:ascii="Times New Roman" w:hAnsi="Times New Roman"/>
        </w:rPr>
        <w:t>Surveiller la vascularisation de l'anse intestinale extériorisée</w:t>
      </w:r>
    </w:p>
    <w:p>
      <w:pPr>
        <w:pStyle w:val="Heading3"/>
      </w:pPr>
      <w:r>
        <w:rPr/>
        <w:t>Diagnostic post-</w:t>
      </w:r>
      <w:r>
        <w:rPr/>
        <w:t>natal :</w:t>
      </w:r>
    </w:p>
    <w:p>
      <w:pPr>
        <w:numPr>
          <w:ilvl w:val="1"/>
          <w:numId w:val="16"/>
        </w:numPr>
      </w:pPr>
      <w:r>
        <w:rPr>
          <w:rFonts w:ascii="Times New Roman" w:hAnsi="Times New Roman"/>
        </w:rPr>
        <w:t xml:space="preserve">Anse intestinale éviscérée par un orifice para-ombilical, souvent </w:t>
      </w:r>
      <w:r>
        <w:rPr>
          <w:rFonts w:ascii="Times New Roman" w:hAnsi="Times New Roman"/>
        </w:rPr>
        <w:t>latéro</w:t>
      </w:r>
      <w:r>
        <w:rPr>
          <w:rFonts w:ascii="Times New Roman" w:hAnsi="Times New Roman"/>
        </w:rPr>
        <w:t>-ombilical droit</w:t>
      </w:r>
    </w:p>
    <w:p>
      <w:pPr>
        <w:numPr>
          <w:ilvl w:val="1"/>
          <w:numId w:val="16"/>
        </w:numPr>
      </w:pPr>
      <w:r>
        <w:rPr>
          <w:rFonts w:ascii="Times New Roman" w:hAnsi="Times New Roman"/>
        </w:rPr>
        <w:t xml:space="preserve">L'Implantation du </w:t>
      </w:r>
      <w:r>
        <w:rPr>
          <w:rFonts w:ascii="Times New Roman" w:hAnsi="Times New Roman"/>
        </w:rPr>
        <w:t>cordo</w:t>
      </w:r>
      <w:r>
        <w:rPr>
          <w:rFonts w:ascii="Times New Roman" w:hAnsi="Times New Roman"/>
        </w:rPr>
        <w:t xml:space="preserve"> ombilical et le </w:t>
      </w:r>
      <w:r>
        <w:rPr>
          <w:rFonts w:ascii="Times New Roman" w:hAnsi="Times New Roman"/>
          <w:b/>
        </w:rPr>
        <w:t>non recouvrement total de l'intestin</w:t>
      </w:r>
      <w:r>
        <w:rPr>
          <w:rFonts w:ascii="Times New Roman" w:hAnsi="Times New Roman"/>
        </w:rPr>
        <w:t xml:space="preserve"> permet de distinguer le </w:t>
      </w:r>
      <w:r>
        <w:rPr>
          <w:rFonts w:ascii="Times New Roman" w:hAnsi="Times New Roman"/>
        </w:rPr>
        <w:t>laparoschisis</w:t>
      </w:r>
      <w:r>
        <w:rPr>
          <w:rFonts w:ascii="Times New Roman" w:hAnsi="Times New Roman"/>
        </w:rPr>
        <w:t xml:space="preserve"> de l'omphalocèle à membrane rompue</w:t>
      </w:r>
    </w:p>
    <w:p>
      <w:pPr/>
    </w:p>
    <w:p>
      <w:pPr>
        <w:pStyle w:val="Heading2"/>
      </w:pPr>
      <w:r>
        <w:rPr/>
        <w:t>COMPLICATIONS</w:t>
      </w:r>
    </w:p>
    <w:p>
      <w:pPr>
        <w:numPr>
          <w:ilvl w:val="0"/>
          <w:numId w:val="17"/>
        </w:numPr>
      </w:pPr>
      <w:r>
        <w:rPr>
          <w:rFonts w:ascii="Times New Roman" w:hAnsi="Times New Roman"/>
        </w:rPr>
        <w:t>Mécanismes</w:t>
      </w:r>
    </w:p>
    <w:p>
      <w:pPr>
        <w:numPr>
          <w:ilvl w:val="1"/>
          <w:numId w:val="17"/>
        </w:numPr>
      </w:pPr>
      <w:r>
        <w:rPr>
          <w:rFonts w:ascii="Times New Roman" w:hAnsi="Times New Roman"/>
        </w:rPr>
        <w:t xml:space="preserve">Exposition prolongée des anses digestives à l'urine </w:t>
      </w:r>
      <w:r>
        <w:rPr>
          <w:rFonts w:ascii="Times New Roman" w:hAnsi="Times New Roman"/>
        </w:rPr>
        <w:t>foetale</w:t>
      </w:r>
      <w:r>
        <w:rPr>
          <w:rFonts w:ascii="Times New Roman" w:hAnsi="Times New Roman"/>
        </w:rPr>
        <w:t>-</w:t>
      </w:r>
      <w:r>
        <w:rPr>
          <w:rFonts w:ascii="Symbol" w:hAnsi="Symbol"/>
        </w:rPr>
      </w:r>
      <w:r>
        <w:rPr>
          <w:rFonts w:ascii="Times New Roman" w:hAnsi="Times New Roman"/>
        </w:rPr>
        <w:t xml:space="preserve"> Péritonite plastique</w:t>
      </w:r>
    </w:p>
    <w:p>
      <w:pPr>
        <w:numPr>
          <w:ilvl w:val="1"/>
          <w:numId w:val="17"/>
        </w:numPr>
      </w:pPr>
      <w:r>
        <w:rPr>
          <w:rFonts w:ascii="Times New Roman" w:hAnsi="Times New Roman"/>
        </w:rPr>
        <w:t>Striction progressive au niveau du collet en fin de grossesse</w:t>
      </w:r>
    </w:p>
    <w:p>
      <w:pPr>
        <w:numPr>
          <w:ilvl w:val="0"/>
          <w:numId w:val="17"/>
        </w:numPr>
      </w:pPr>
      <w:r>
        <w:rPr>
          <w:rFonts w:ascii="Times New Roman" w:hAnsi="Times New Roman"/>
        </w:rPr>
        <w:t>Majeures</w:t>
      </w:r>
    </w:p>
    <w:p>
      <w:pPr>
        <w:numPr>
          <w:ilvl w:val="1"/>
          <w:numId w:val="17"/>
        </w:numPr>
      </w:pPr>
      <w:r>
        <w:rPr>
          <w:rFonts w:ascii="Times New Roman" w:hAnsi="Times New Roman"/>
        </w:rPr>
        <w:t>Atrésie ou sténose</w:t>
      </w:r>
    </w:p>
    <w:p>
      <w:pPr>
        <w:numPr>
          <w:ilvl w:val="1"/>
          <w:numId w:val="17"/>
        </w:numPr>
      </w:pPr>
      <w:r>
        <w:rPr>
          <w:rFonts w:ascii="Times New Roman" w:hAnsi="Times New Roman"/>
        </w:rPr>
        <w:t>Ischémie, nécrose</w:t>
      </w:r>
    </w:p>
    <w:p>
      <w:pPr>
        <w:numPr>
          <w:ilvl w:val="0"/>
          <w:numId w:val="17"/>
        </w:numPr>
      </w:pPr>
      <w:r>
        <w:rPr>
          <w:rFonts w:ascii="Times New Roman" w:hAnsi="Times New Roman"/>
        </w:rPr>
        <w:t>Mineures</w:t>
      </w:r>
    </w:p>
    <w:p>
      <w:pPr>
        <w:numPr>
          <w:ilvl w:val="1"/>
          <w:numId w:val="17"/>
        </w:numPr>
      </w:pPr>
      <w:r>
        <w:rPr>
          <w:rFonts w:ascii="Times New Roman" w:hAnsi="Times New Roman"/>
        </w:rPr>
        <w:t>Liées à la malrotation intestinale associée</w:t>
      </w:r>
    </w:p>
    <w:p>
      <w:pPr>
        <w:numPr>
          <w:ilvl w:val="1"/>
          <w:numId w:val="17"/>
        </w:numPr>
      </w:pPr>
      <w:r>
        <w:rPr>
          <w:rFonts w:ascii="Times New Roman" w:hAnsi="Times New Roman"/>
        </w:rPr>
        <w:t>Dysmotilité</w:t>
      </w:r>
      <w:r>
        <w:rPr>
          <w:rFonts w:ascii="Times New Roman" w:hAnsi="Times New Roman"/>
        </w:rPr>
        <w:t xml:space="preserve"> intestinale</w:t>
      </w:r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