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DEFECTS PARIETAUX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Définitions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Omphalocèle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Défaut de fermeture de l'anneau ombilical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Extériorisation des viscères abdominaux</w:t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>Recouverts par une membrane amniotique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Laparoschisis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 xml:space="preserve">Défaut de croissance pariétale 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Probablement d'origine vasculaire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Pendant la phase finale de la délimitation</w:t>
      </w:r>
    </w:p>
    <w:p>
      <w:pPr>
        <w:numPr>
          <w:ilvl w:val="2"/>
          <w:numId w:val="14"/>
        </w:numPr>
      </w:pPr>
      <w:r>
        <w:rPr>
          <w:rFonts w:ascii="Times New Roman" w:hAnsi="Times New Roman"/>
        </w:rPr>
        <w:t>Pas d'anomalies ni malformations associées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>Pas de membrane qui recouvre les viscères</w:t>
      </w:r>
    </w:p>
    <w:p>
      <w:pPr>
        <w:pStyle w:val="Heading3"/>
      </w:pPr>
      <w:r>
        <w:rPr/>
        <w:t>Fréquence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Omphalocèle :</w:t>
      </w:r>
      <w:r>
        <w:rPr>
          <w:rFonts w:ascii="Times New Roman" w:hAnsi="Times New Roman"/>
        </w:rPr>
        <w:t xml:space="preserve"> 1/1000-5000 naissance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Laparoschisis</w:t>
      </w:r>
      <w:r>
        <w:rPr>
          <w:rFonts w:ascii="Times New Roman" w:hAnsi="Times New Roman"/>
        </w:rPr>
        <w:t xml:space="preserve"> : 1/10.000 naissance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Laparoschisis</w:t>
      </w:r>
      <w:r>
        <w:rPr>
          <w:rFonts w:ascii="Times New Roman" w:hAnsi="Times New Roman"/>
        </w:rPr>
        <w:t xml:space="preserve">/omphalocèle= 1,5- 2 (incidence) </w:t>
      </w:r>
    </w:p>
    <w:p>
      <w:pPr>
        <w:pStyle w:val="Heading3"/>
      </w:pPr>
      <w:r>
        <w:rPr/>
        <w:t>Gravité :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Complications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Malformations associées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