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OMPHALOCÈLE</w:t>
      </w:r>
    </w:p>
    <w:p>
      <w:pPr>
        <w:pStyle w:val="Heading2"/>
      </w:pPr>
      <w:r>
        <w:rPr/>
        <w:t>Physiopathologie</w:t>
      </w:r>
    </w:p>
    <w:p>
      <w:pPr/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Malformation congénitale de la paroi abdominale à partir de l'anneau ombilical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 xml:space="preserve">Non </w:t>
      </w:r>
      <w:r>
        <w:rPr>
          <w:rFonts w:ascii="Times New Roman" w:hAnsi="Times New Roman"/>
        </w:rPr>
        <w:t>réintégration</w:t>
      </w:r>
      <w:r>
        <w:rPr>
          <w:rFonts w:ascii="Times New Roman" w:hAnsi="Times New Roman"/>
        </w:rPr>
        <w:t xml:space="preserve"> des viscères recouverts de la membrane amniotique avasculaire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Le cordon ombilical s'</w:t>
      </w:r>
      <w:r>
        <w:rPr>
          <w:rFonts w:ascii="Times New Roman" w:hAnsi="Times New Roman"/>
        </w:rPr>
        <w:t>insère</w:t>
      </w:r>
      <w:r>
        <w:rPr>
          <w:rFonts w:ascii="Times New Roman" w:hAnsi="Times New Roman"/>
        </w:rPr>
        <w:t xml:space="preserve"> toujours sur la membrane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 xml:space="preserve">Entre les viscères et la membrane des cavités contenant la </w:t>
      </w:r>
      <w:r>
        <w:rPr>
          <w:rFonts w:ascii="Times New Roman" w:hAnsi="Times New Roman"/>
        </w:rPr>
        <w:t>gelée</w:t>
      </w:r>
      <w:r>
        <w:rPr>
          <w:rFonts w:ascii="Times New Roman" w:hAnsi="Times New Roman"/>
        </w:rPr>
        <w:t xml:space="preserve"> de Wharton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 xml:space="preserve">L'anomalie est </w:t>
      </w:r>
      <w:r>
        <w:rPr>
          <w:rFonts w:ascii="Times New Roman" w:hAnsi="Times New Roman"/>
          <w:b/>
        </w:rPr>
        <w:t>toujours médiane, le plus souvent à hauteur de l'ombilic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Hernie recouverte d'une membrane à 3 couches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Péritoine à l'intérieur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L'amnios à l'extérieur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Gelée de Wharton entre les deux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 xml:space="preserve">Diagnostic </w:t>
      </w:r>
      <w:r>
        <w:rPr/>
        <w:t>Anténatal :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L’échographie :</w:t>
      </w:r>
      <w:r>
        <w:rPr>
          <w:rFonts w:ascii="Times New Roman" w:hAnsi="Times New Roman"/>
        </w:rPr>
        <w:t xml:space="preserve"> absence de fermeture de l'orifice ombilical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 xml:space="preserve">Préciser les viscères </w:t>
      </w:r>
      <w:r>
        <w:rPr>
          <w:rFonts w:ascii="Times New Roman" w:hAnsi="Times New Roman"/>
        </w:rPr>
        <w:t>herniés :</w:t>
      </w:r>
      <w:r>
        <w:rPr>
          <w:rFonts w:ascii="Times New Roman" w:hAnsi="Times New Roman"/>
        </w:rPr>
        <w:t xml:space="preserve"> foie, tube digestif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 xml:space="preserve">Recherche de malformations </w:t>
      </w:r>
      <w:r>
        <w:rPr>
          <w:rFonts w:ascii="Times New Roman" w:hAnsi="Times New Roman"/>
        </w:rPr>
        <w:t>associées :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 xml:space="preserve">En particulier cardiaques et chromosomiques (trisomie 18 ou 21) </w:t>
      </w:r>
    </w:p>
    <w:p>
      <w:pPr>
        <w:numPr>
          <w:ilvl w:val="2"/>
          <w:numId w:val="19"/>
        </w:numPr>
      </w:pPr>
      <w:r>
        <w:rPr>
          <w:rFonts w:ascii="Times New Roman" w:hAnsi="Times New Roman"/>
        </w:rPr>
        <w:t xml:space="preserve">Echocardiographie </w:t>
      </w:r>
      <w:r>
        <w:rPr>
          <w:rFonts w:ascii="Times New Roman" w:hAnsi="Times New Roman"/>
        </w:rPr>
        <w:t>foetale</w:t>
      </w:r>
      <w:r>
        <w:rPr>
          <w:rFonts w:ascii="Times New Roman" w:hAnsi="Times New Roman"/>
        </w:rPr>
        <w:t xml:space="preserve"> et une étude du caryotype</w:t>
      </w:r>
    </w:p>
    <w:p>
      <w:pPr>
        <w:pStyle w:val="Heading3"/>
      </w:pPr>
      <w:r>
        <w:rPr/>
        <w:t>Postnatal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Diagnostic facile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 xml:space="preserve">Tuméfaction </w:t>
      </w:r>
      <w:r>
        <w:rPr>
          <w:rFonts w:ascii="Times New Roman" w:hAnsi="Times New Roman"/>
          <w:b/>
        </w:rPr>
        <w:t>sessile</w:t>
      </w:r>
      <w:r>
        <w:rPr>
          <w:rFonts w:ascii="Times New Roman" w:hAnsi="Times New Roman"/>
        </w:rPr>
        <w:t xml:space="preserve"> de volume variable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Viscères recouverts d'une membrane translucide (</w:t>
      </w:r>
      <w:r>
        <w:rPr>
          <w:rFonts w:ascii="Times New Roman" w:hAnsi="Times New Roman"/>
          <w:i/>
        </w:rPr>
        <w:t xml:space="preserve">essayer de ne pas rompre la membrane à l'accouchement car elle protège les anses et va servir lors du traitement </w:t>
      </w:r>
      <w:r>
        <w:rPr>
          <w:rFonts w:ascii="Times New Roman" w:hAnsi="Times New Roman"/>
          <w:i/>
        </w:rPr>
        <w:t>chirurgical :</w:t>
      </w:r>
      <w:r>
        <w:rPr>
          <w:rFonts w:ascii="Times New Roman" w:hAnsi="Times New Roman"/>
          <w:i/>
        </w:rPr>
        <w:t xml:space="preserve"> OC+++) 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Le cordon ombilical s'implante avec un trajet hélicoïdal</w:t>
      </w:r>
    </w:p>
    <w:p>
      <w:pPr>
        <w:numPr>
          <w:ilvl w:val="1"/>
          <w:numId w:val="19"/>
        </w:numPr>
      </w:pPr>
      <w:r>
        <w:rPr>
          <w:rFonts w:ascii="Times New Roman" w:hAnsi="Times New Roman"/>
        </w:rPr>
        <w:t>La rupture de la membrane de l'omphalocèle est exceptionnelle</w:t>
      </w:r>
    </w:p>
    <w:p>
      <w:pPr>
        <w:pStyle w:val="Heading2"/>
      </w:pPr>
      <w:r>
        <w:rPr/>
        <w:t>CLASSIFICATION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 xml:space="preserve">TYPE </w:t>
      </w:r>
      <w:r>
        <w:rPr>
          <w:rFonts w:ascii="Times New Roman" w:hAnsi="Times New Roman"/>
        </w:rPr>
        <w:t>1 :</w:t>
      </w:r>
      <w:r>
        <w:rPr>
          <w:rFonts w:ascii="Times New Roman" w:hAnsi="Times New Roman"/>
        </w:rPr>
        <w:t xml:space="preserve"> diamètre inférieur à 4cm, le plus grand diamètre du sac inférieur à 8cm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 xml:space="preserve">Type </w:t>
      </w:r>
      <w:r>
        <w:rPr>
          <w:rFonts w:ascii="Times New Roman" w:hAnsi="Times New Roman"/>
        </w:rPr>
        <w:t>2 :</w:t>
      </w:r>
      <w:r>
        <w:rPr>
          <w:rFonts w:ascii="Times New Roman" w:hAnsi="Times New Roman"/>
        </w:rPr>
        <w:t xml:space="preserve"> dimensions </w:t>
      </w:r>
      <w:r>
        <w:rPr>
          <w:rFonts w:ascii="Times New Roman" w:hAnsi="Times New Roman"/>
        </w:rPr>
        <w:t>supérieures (</w:t>
      </w:r>
      <w:r>
        <w:rPr>
          <w:rFonts w:ascii="Times New Roman" w:hAnsi="Times New Roman"/>
          <w:i/>
        </w:rPr>
        <w:t xml:space="preserve">où l'on retrouve les hernies du foie et autres organes)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2"/>
      </w:pPr>
      <w:r>
        <w:rPr/>
        <w:t>MALFORMATIONS ASSOCIÉES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 xml:space="preserve">Anomalies </w:t>
      </w:r>
      <w:r>
        <w:rPr>
          <w:rFonts w:ascii="Times New Roman" w:hAnsi="Times New Roman"/>
        </w:rPr>
        <w:t>chromosomiques :</w:t>
      </w:r>
      <w:r>
        <w:rPr>
          <w:rFonts w:ascii="Times New Roman" w:hAnsi="Times New Roman"/>
        </w:rPr>
        <w:t xml:space="preserve"> trisomie 13-15, trisomie 16-18,21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Eventration ou hernie diaphragmatique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Malformations cardiaques</w:t>
      </w:r>
    </w:p>
    <w:p>
      <w:pPr>
        <w:numPr>
          <w:ilvl w:val="0"/>
          <w:numId w:val="21"/>
        </w:numPr>
      </w:pPr>
      <w:r>
        <w:rPr>
          <w:rFonts w:ascii="Times New Roman" w:hAnsi="Times New Roman"/>
          <w:b/>
        </w:rPr>
        <w:t>Syndrome de Wiedemann-</w:t>
      </w:r>
      <w:r>
        <w:rPr>
          <w:rFonts w:ascii="Times New Roman" w:hAnsi="Times New Roman"/>
          <w:b/>
        </w:rPr>
        <w:t>Beckwith</w:t>
      </w:r>
      <w:r>
        <w:rPr>
          <w:rFonts w:ascii="Times New Roman" w:hAnsi="Times New Roman"/>
          <w:b/>
        </w:rPr>
        <w:t xml:space="preserve"> associant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Omphalocèle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Hypoglycémie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Macroglossie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Viscéromégalie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Associée inconstamment à une translocation chromosomique 11p15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Malformations génito-urinaires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 xml:space="preserve">Pentalogie de </w:t>
      </w:r>
      <w:r>
        <w:rPr>
          <w:rFonts w:ascii="Times New Roman" w:hAnsi="Times New Roman"/>
        </w:rPr>
        <w:t>Cantrell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Omphalocèle- Hernie diaphragmatique antérieure- fente sternale- Ectopie Cardiaque avec Cardiopathie</w:t>
      </w:r>
    </w:p>
    <w:p>
      <w:pPr/>
    </w:p>
    <w:p>
      <w:pPr>
        <w:pStyle w:val="Heading2"/>
      </w:pPr>
      <w:r>
        <w:rPr/>
        <w:t>PRISE EN CHARGE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Prise en charge obstétricale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Omphalocèle :</w:t>
      </w:r>
      <w:r>
        <w:rPr>
          <w:rFonts w:ascii="Times New Roman" w:hAnsi="Times New Roman"/>
        </w:rPr>
        <w:t xml:space="preserve"> voie naturelle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Laparoschisis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discuter d'une opération césarienne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Prise en charge néonatale</w:t>
      </w:r>
    </w:p>
    <w:p>
      <w:pPr/>
    </w:p>
    <w:p>
      <w:pPr>
        <w:pStyle w:val="Heading3"/>
      </w:pPr>
      <w:r>
        <w:rPr/>
        <w:t>Laparoschisis</w:t>
      </w:r>
      <w:r>
        <w:rPr/>
        <w:t xml:space="preserve"> 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Perfusion avec des apports hydrosodés supérieur à ceux d'un nouveau-né normal (80-60ml/kg/jour x 1,5)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SNG pour prévenir la distension aérique de la partie extériorisée de l'intestin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Antibiothérapie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 xml:space="preserve">Protection de la partie inférieure du corps du nouveau-né dans un sac en plastique stérile (sac à grêle), ce qui permettra de protéger le </w:t>
      </w:r>
      <w:r>
        <w:rPr>
          <w:rFonts w:ascii="Times New Roman" w:hAnsi="Times New Roman"/>
        </w:rPr>
        <w:t xml:space="preserve">nouveau-né </w:t>
      </w:r>
      <w:r>
        <w:rPr>
          <w:rFonts w:ascii="Times New Roman" w:hAnsi="Times New Roman"/>
        </w:rPr>
        <w:t>: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De l'hypothermie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De diminuer les pertes insensibles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Diminuer le risque d'infection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D'éviter les lésions traumatiques de l'intestin éviscéré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>Placer le nouveau-né en décubitus latéral droit (</w:t>
      </w:r>
      <w:r>
        <w:rPr>
          <w:rFonts w:ascii="Times New Roman" w:hAnsi="Times New Roman"/>
          <w:b/>
        </w:rPr>
        <w:t xml:space="preserve">éviter la plicature de l'artère mésentérique supérieure)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3"/>
      </w:pPr>
      <w:r>
        <w:rPr/>
        <w:t>OMPHALOCÈLE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 xml:space="preserve">Mise en place d'une sonde </w:t>
      </w:r>
      <w:r>
        <w:rPr>
          <w:rFonts w:ascii="Times New Roman" w:hAnsi="Times New Roman"/>
        </w:rPr>
        <w:t>orogastrique</w:t>
      </w:r>
      <w:r>
        <w:rPr>
          <w:rFonts w:ascii="Times New Roman" w:hAnsi="Times New Roman"/>
        </w:rPr>
        <w:t xml:space="preserve"> pour éviter la distension aérique des viscères herniés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Protection de l'omphalocèle par la mise en place de la partie inférieure du corps du nouveau-né dans un sac plastique stérile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Mise en place d'une voie veineuse permettant un apport hydrosodé et glucidique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 xml:space="preserve">Principes de la </w:t>
      </w:r>
      <w:r>
        <w:rPr>
          <w:rFonts w:ascii="Times New Roman" w:hAnsi="Times New Roman"/>
        </w:rPr>
        <w:t>chirurgie</w:t>
      </w:r>
      <w:r>
        <w:rPr>
          <w:rFonts w:ascii="Times New Roman" w:hAnsi="Times New Roman"/>
          <w:i/>
        </w:rPr>
        <w:t xml:space="preserve"> (</w:t>
      </w:r>
      <w:r>
        <w:rPr>
          <w:rFonts w:ascii="Times New Roman" w:hAnsi="Times New Roman"/>
          <w:i/>
        </w:rPr>
        <w:t>Laparoschisis</w:t>
      </w:r>
      <w:r>
        <w:rPr>
          <w:rFonts w:ascii="Times New Roman" w:hAnsi="Times New Roman"/>
          <w:i/>
        </w:rPr>
        <w:t>) ???</w:t>
      </w:r>
      <w:r>
        <w:rPr>
          <w:rFonts w:ascii="Times New Roman" w:hAnsi="Times New Roman"/>
          <w:i/>
        </w:rPr>
        <w:t xml:space="preserve"> 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Réintégrer le contenu hernié dans la paroi abdominale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Réfection pariétale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Eviter une hyperpression intra-</w:t>
      </w:r>
      <w:r>
        <w:rPr>
          <w:rFonts w:ascii="Times New Roman" w:hAnsi="Times New Roman"/>
        </w:rPr>
        <w:t>abdominale (</w:t>
      </w:r>
      <w:r>
        <w:rPr>
          <w:rFonts w:ascii="Times New Roman" w:hAnsi="Times New Roman"/>
          <w:i/>
        </w:rPr>
        <w:t xml:space="preserve">à vérifier car abdomen non habitué...) 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Problèmes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Inadéquation contenant-contenu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 xml:space="preserve">Risques en cas de fermeture </w:t>
      </w:r>
      <w:r>
        <w:rPr>
          <w:rFonts w:ascii="Times New Roman" w:hAnsi="Times New Roman"/>
        </w:rPr>
        <w:t>abdominale :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>Troubles ventilatoires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 xml:space="preserve">Syndrome cave inférieur </w:t>
      </w:r>
      <w:r>
        <w:rPr>
          <w:rFonts w:ascii="Times New Roman" w:hAnsi="Times New Roman"/>
          <w:i/>
        </w:rPr>
        <w:t>par compression de la veine cave inférieure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 xml:space="preserve">Décisions </w:t>
      </w:r>
      <w:r>
        <w:rPr>
          <w:rFonts w:ascii="Times New Roman" w:hAnsi="Times New Roman"/>
        </w:rPr>
        <w:t>peropératoires :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Testing</w:t>
      </w:r>
      <w:r>
        <w:rPr>
          <w:rFonts w:ascii="Times New Roman" w:hAnsi="Times New Roman"/>
        </w:rPr>
        <w:t xml:space="preserve"> de fermeture pariétale avant la fermeture définitive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 xml:space="preserve">Mesure de la pression </w:t>
      </w:r>
      <w:r>
        <w:rPr>
          <w:rFonts w:ascii="Times New Roman" w:hAnsi="Times New Roman"/>
        </w:rPr>
        <w:t>ventilatoire :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 xml:space="preserve">Si 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30 cm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O :</w:t>
      </w:r>
      <w:r>
        <w:rPr>
          <w:rFonts w:ascii="Times New Roman" w:hAnsi="Times New Roman"/>
        </w:rPr>
        <w:t xml:space="preserve"> fermeture primitive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 xml:space="preserve">Si 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30 cm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O :</w:t>
      </w:r>
      <w:r>
        <w:rPr>
          <w:rFonts w:ascii="Times New Roman" w:hAnsi="Times New Roman"/>
        </w:rPr>
        <w:t xml:space="preserve"> fermeture progressive</w:t>
      </w:r>
    </w:p>
    <w:p>
      <w:pPr>
        <w:numPr>
          <w:ilvl w:val="0"/>
          <w:numId w:val="24"/>
        </w:numPr>
      </w:pPr>
      <w:r>
        <w:rPr>
          <w:rFonts w:ascii="Times New Roman" w:hAnsi="Times New Roman"/>
          <w:b/>
        </w:rPr>
        <w:t>Techniques chirurgicales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Fermeture primitive</w:t>
      </w:r>
    </w:p>
    <w:p>
      <w:pPr>
        <w:numPr>
          <w:ilvl w:val="2"/>
          <w:numId w:val="24"/>
        </w:numPr>
      </w:pPr>
      <w:r>
        <w:rPr>
          <w:rFonts w:ascii="Times New Roman" w:hAnsi="Times New Roman"/>
          <w:b/>
          <w:u w:val="single"/>
        </w:rPr>
        <w:t>Omphalocèle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Incision circonscrivant la plaque de l'omphalocèle avec un sacrifice cutané minimal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Ligature en bas des deux artères ombilicales et en haut de la veine ombilicale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Résection de la plaque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Vérification des anomalies intestinales associées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 xml:space="preserve">Des </w:t>
      </w:r>
      <w:r>
        <w:rPr>
          <w:rFonts w:ascii="Times New Roman" w:hAnsi="Times New Roman"/>
        </w:rPr>
        <w:t>manoeuvres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sistension</w:t>
      </w:r>
      <w:r>
        <w:rPr>
          <w:rFonts w:ascii="Times New Roman" w:hAnsi="Times New Roman"/>
        </w:rPr>
        <w:t xml:space="preserve"> (stretch ingrat) de la paroi abdominale sont d'une grande aide dans cette fermeture primitive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 xml:space="preserve">Fermeture pariétale en deux plans </w:t>
      </w:r>
      <w:r>
        <w:rPr>
          <w:rFonts w:ascii="Times New Roman" w:hAnsi="Times New Roman"/>
        </w:rPr>
        <w:t>donc:</w:t>
      </w:r>
      <w:r>
        <w:rPr>
          <w:rFonts w:ascii="Times New Roman" w:hAnsi="Times New Roman"/>
        </w:rPr>
        <w:t xml:space="preserve"> musculo-aponévrotiques et cutanés. </w:t>
      </w:r>
    </w:p>
    <w:p>
      <w:pPr>
        <w:numPr>
          <w:ilvl w:val="2"/>
          <w:numId w:val="24"/>
        </w:numPr>
      </w:pPr>
      <w:r>
        <w:rPr>
          <w:rFonts w:ascii="Times New Roman" w:hAnsi="Times New Roman"/>
          <w:b/>
          <w:u w:val="single"/>
        </w:rPr>
        <w:t>Laparoschisis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Désinfection de la paroi et des anses intestinales extériorisée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 xml:space="preserve">Inspection prudente </w:t>
      </w:r>
      <w:r>
        <w:rPr>
          <w:rFonts w:ascii="Times New Roman" w:hAnsi="Times New Roman"/>
        </w:rPr>
        <w:t>de la grêle</w:t>
      </w:r>
      <w:r>
        <w:rPr>
          <w:rFonts w:ascii="Times New Roman" w:hAnsi="Times New Roman"/>
        </w:rPr>
        <w:t xml:space="preserve"> extériorisée à la recherche de lésions </w:t>
      </w:r>
      <w:r>
        <w:rPr>
          <w:rFonts w:ascii="Times New Roman" w:hAnsi="Times New Roman"/>
        </w:rPr>
        <w:t>associées :</w:t>
      </w:r>
      <w:r>
        <w:rPr>
          <w:rFonts w:ascii="Times New Roman" w:hAnsi="Times New Roman"/>
        </w:rPr>
        <w:t xml:space="preserve"> atrésie, perforation 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Il est parfois nécessaire d'agrandir l'orifice pariétal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 xml:space="preserve">Avant la réintégration des anses intestinales, l'évacuation du méconium par un lavement à la </w:t>
      </w:r>
      <w:r>
        <w:rPr>
          <w:rFonts w:ascii="Times New Roman" w:hAnsi="Times New Roman"/>
        </w:rPr>
        <w:t>gastrografine</w:t>
      </w:r>
      <w:r>
        <w:rPr>
          <w:rFonts w:ascii="Times New Roman" w:hAnsi="Times New Roman"/>
        </w:rPr>
        <w:t xml:space="preserve"> diluée à 50% (</w:t>
      </w:r>
      <w:r>
        <w:rPr>
          <w:rFonts w:ascii="Times New Roman" w:hAnsi="Times New Roman"/>
          <w:i/>
        </w:rPr>
        <w:t xml:space="preserve">ou SSI chez nous) </w:t>
      </w:r>
      <w:r>
        <w:rPr>
          <w:rFonts w:ascii="Times New Roman" w:hAnsi="Times New Roman"/>
        </w:rPr>
        <w:t>diminue le volume des anses intestinales et permet de mettre en évidence une éventuelle atrésie associée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 xml:space="preserve">Traitement éventuel des complications avant réintégration de l'anse </w:t>
      </w:r>
      <w:r>
        <w:rPr>
          <w:rFonts w:ascii="Times New Roman" w:hAnsi="Times New Roman"/>
        </w:rPr>
        <w:t>intestinale :</w:t>
      </w:r>
      <w:r>
        <w:rPr>
          <w:rFonts w:ascii="Times New Roman" w:hAnsi="Times New Roman"/>
        </w:rPr>
        <w:t xml:space="preserve"> soit résection anastomose si la qualité de la paroi intestinale le permet, soit </w:t>
      </w:r>
      <w:r>
        <w:rPr>
          <w:rFonts w:ascii="Times New Roman" w:hAnsi="Times New Roman"/>
        </w:rPr>
        <w:t>jéjuno</w:t>
      </w:r>
      <w:r>
        <w:rPr>
          <w:rFonts w:ascii="Times New Roman" w:hAnsi="Times New Roman"/>
        </w:rPr>
        <w:t xml:space="preserve"> ou iléostomie en amont de la perforation ou de l'atrésie et de proposer un traitement définitif de l'atrésie dans un deuxième temps</w:t>
      </w:r>
    </w:p>
    <w:p>
      <w:pPr>
        <w:numPr>
          <w:ilvl w:val="3"/>
          <w:numId w:val="24"/>
        </w:numPr>
      </w:pPr>
      <w:r>
        <w:rPr>
          <w:rFonts w:ascii="Times New Roman" w:hAnsi="Times New Roman"/>
        </w:rPr>
        <w:t>Fermeture pariétale en deux plans</w:t>
      </w:r>
    </w:p>
    <w:p>
      <w:pPr>
        <w:numPr>
          <w:ilvl w:val="3"/>
          <w:numId w:val="24"/>
        </w:numPr>
      </w:pPr>
      <w:r>
        <w:rPr>
          <w:rFonts w:ascii="Times New Roman" w:hAnsi="Times New Roman"/>
          <w:b/>
        </w:rPr>
        <w:t>Technique de Silo de Schuster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Si fermeture impossible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Suture aux deux berges aponévrotiques d'une plaque en </w:t>
      </w:r>
      <w:r>
        <w:rPr>
          <w:rFonts w:ascii="Times New Roman" w:hAnsi="Times New Roman"/>
        </w:rPr>
        <w:t>Silastic</w:t>
      </w:r>
      <w:r>
        <w:rPr>
          <w:rFonts w:ascii="Times New Roman" w:hAnsi="Times New Roman"/>
        </w:rPr>
        <w:t>* réunie en haut et en bas à la plaque controlatérale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Affrontement des deux plaques en avant des viscères herniés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L'enfant est alors réinstallé dans l'incubateur</w:t>
      </w:r>
    </w:p>
    <w:p>
      <w:pPr>
        <w:numPr>
          <w:ilvl w:val="4"/>
          <w:numId w:val="24"/>
        </w:numPr>
      </w:pPr>
      <w:r>
        <w:rPr>
          <w:rFonts w:ascii="Times New Roman" w:hAnsi="Times New Roman"/>
          <w:i/>
        </w:rPr>
        <w:t>Fermer petit à petit l'aponévrose et la peau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Fermeture progressive du silo tous les 2 </w:t>
      </w:r>
      <w:r>
        <w:rPr>
          <w:rFonts w:ascii="Times New Roman" w:hAnsi="Times New Roman"/>
        </w:rPr>
        <w:t>jours :</w:t>
      </w:r>
      <w:r>
        <w:rPr>
          <w:rFonts w:ascii="Times New Roman" w:hAnsi="Times New Roman"/>
        </w:rPr>
        <w:t xml:space="preserve"> mise en place d'une série de points en U, tandis que l'aide refoule soigneusement les viscères vers la cavité abdominale de façon à éviter leur lésion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On parvient ainsi à obtenir l'affrontement des berges aponévrotiques en une quinzaine de jours au maximum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Le nouveau-né est alors reconduit en salle d'opération, les plaques </w:t>
      </w:r>
      <w:r>
        <w:rPr>
          <w:rFonts w:ascii="Times New Roman" w:hAnsi="Times New Roman"/>
        </w:rPr>
        <w:t>sont ôtées</w:t>
      </w:r>
      <w:r>
        <w:rPr>
          <w:rFonts w:ascii="Times New Roman" w:hAnsi="Times New Roman"/>
        </w:rPr>
        <w:t xml:space="preserve"> et la paroi abdominale est refermée</w:t>
      </w:r>
    </w:p>
    <w:p>
      <w:pPr>
        <w:numPr>
          <w:ilvl w:val="3"/>
          <w:numId w:val="24"/>
        </w:numPr>
      </w:pPr>
      <w:r>
        <w:rPr>
          <w:rFonts w:ascii="Times New Roman" w:hAnsi="Times New Roman"/>
          <w:b/>
        </w:rPr>
        <w:t>Recouvrement cutané selon Gross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On réalise de chaque côté de l'incision un large décollement cutané, poursuivi le plus loin possible en avant des muscles larges de l'abdomen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Suture de la peau : en avant de l'éventration médiane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Si défect majeur, on peut réaliser des incisions de décharge cutanées le plus en arrière possible afin d'éviter l'éviscération des anses intestinales à leur niveau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Reprise chirurgicale </w:t>
      </w:r>
      <w:r>
        <w:rPr>
          <w:rFonts w:ascii="Times New Roman" w:hAnsi="Times New Roman"/>
        </w:rPr>
        <w:t>nécessaire :</w:t>
      </w:r>
      <w:r>
        <w:rPr>
          <w:rFonts w:ascii="Times New Roman" w:hAnsi="Times New Roman"/>
        </w:rPr>
        <w:t xml:space="preserve"> car c'est une éviscération </w:t>
      </w:r>
      <w:r>
        <w:rPr>
          <w:rFonts w:ascii="Times New Roman" w:hAnsi="Times New Roman"/>
        </w:rPr>
        <w:t>couverte (</w:t>
      </w:r>
      <w:r>
        <w:rPr>
          <w:rFonts w:ascii="Times New Roman" w:hAnsi="Times New Roman"/>
          <w:i/>
        </w:rPr>
        <w:t xml:space="preserve">les anses ne sont protégés que par la peau) </w:t>
      </w:r>
    </w:p>
    <w:p>
      <w:pPr>
        <w:numPr>
          <w:ilvl w:val="3"/>
          <w:numId w:val="24"/>
        </w:numPr>
      </w:pPr>
      <w:r>
        <w:rPr>
          <w:rFonts w:ascii="Times New Roman" w:hAnsi="Times New Roman"/>
          <w:b/>
        </w:rPr>
        <w:t>Rectomyoplastie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Permet la reposition médiane des muscles grands droits de l'abdomen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Premier </w:t>
      </w:r>
      <w:r>
        <w:rPr>
          <w:rFonts w:ascii="Times New Roman" w:hAnsi="Times New Roman"/>
        </w:rPr>
        <w:t>temps :</w:t>
      </w:r>
      <w:r>
        <w:rPr>
          <w:rFonts w:ascii="Times New Roman" w:hAnsi="Times New Roman"/>
        </w:rPr>
        <w:t xml:space="preserve"> agrandir l'incision cutanée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Décoller de chaque côté la peau et le tissu cellulaire sous-cutané du plan aponévrotique constituant la gaine des droits, jusqu'au bord externe de celle-ci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Le feuillet antérieur de la gaine des droits est incisé verticalement le long de son bord externe puis est décollé du muscle et retourné vers la ligne médiane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Libérer en totalité, sur toute sa hauteur, les muscles grands droits de leurs attaches aponévrotiques en respectant les éléments vasculo-nerveux (mammaire interne en haut, épigastrique en bas. L'innervation provient de la terminaison des nerfs intercostaux) 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Une fois la libération terminée, on constate la possibilité de rapprocher sur la ligne médiane sans tension les deux muscles droits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Cette technique peut être utilisée soit d'emblée devant une omphalocèle importante inaccessible à une fermeture directe, soit au moment de la fermeture pariétale d'un nouveau-né dont l'omphalocèle a été initialement traitée par la technique du silo ??? </w:t>
      </w:r>
    </w:p>
    <w:p>
      <w:pPr>
        <w:numPr>
          <w:ilvl w:val="3"/>
          <w:numId w:val="24"/>
        </w:numPr>
      </w:pPr>
      <w:r>
        <w:rPr>
          <w:rFonts w:ascii="Times New Roman" w:hAnsi="Times New Roman"/>
          <w:b/>
        </w:rPr>
        <w:t>Fermeture prothétique de la paroi abdominale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Principe :</w:t>
      </w:r>
      <w:r>
        <w:rPr>
          <w:rFonts w:ascii="Times New Roman" w:hAnsi="Times New Roman"/>
        </w:rPr>
        <w:t xml:space="preserve"> suturer aux berges du </w:t>
      </w:r>
      <w:r>
        <w:rPr>
          <w:rFonts w:ascii="Times New Roman" w:hAnsi="Times New Roman"/>
        </w:rPr>
        <w:t>defect</w:t>
      </w:r>
      <w:r>
        <w:rPr>
          <w:rFonts w:ascii="Times New Roman" w:hAnsi="Times New Roman"/>
        </w:rPr>
        <w:t xml:space="preserve"> pariétal une plaque inerte recouverte par le plan cutané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Le premier temps consiste donc à inciser au pourtour de la plaque </w:t>
      </w:r>
      <w:r>
        <w:rPr>
          <w:rFonts w:ascii="Times New Roman" w:hAnsi="Times New Roman"/>
        </w:rPr>
        <w:t>péritonéoamniotique</w:t>
      </w:r>
      <w:r>
        <w:rPr>
          <w:rFonts w:ascii="Times New Roman" w:hAnsi="Times New Roman"/>
        </w:rPr>
        <w:t xml:space="preserve"> qui est </w:t>
      </w:r>
      <w:r>
        <w:rPr>
          <w:rFonts w:ascii="Times New Roman" w:hAnsi="Times New Roman"/>
        </w:rPr>
        <w:t>exisée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La plaque est ensuite suturée aux berges aponévrotiques</w:t>
      </w:r>
    </w:p>
    <w:p>
      <w:pPr>
        <w:numPr>
          <w:ilvl w:val="3"/>
          <w:numId w:val="24"/>
        </w:numPr>
      </w:pPr>
      <w:r>
        <w:rPr>
          <w:rFonts w:ascii="Times New Roman" w:hAnsi="Times New Roman"/>
          <w:b/>
        </w:rPr>
        <w:t>Technique de Grob ++</w:t>
      </w:r>
      <w:r>
        <w:rPr>
          <w:rFonts w:ascii="Times New Roman" w:hAnsi="Times New Roman"/>
          <w:b/>
        </w:rPr>
        <w:t>+ (</w:t>
      </w:r>
      <w:r>
        <w:rPr>
          <w:rFonts w:ascii="Times New Roman" w:hAnsi="Times New Roman"/>
          <w:b/>
        </w:rPr>
        <w:t xml:space="preserve">à </w:t>
      </w:r>
      <w:r>
        <w:rPr>
          <w:rFonts w:ascii="Times New Roman" w:hAnsi="Times New Roman"/>
          <w:b/>
        </w:rPr>
        <w:t>mada</w:t>
      </w:r>
      <w:r>
        <w:rPr>
          <w:rFonts w:ascii="Times New Roman" w:hAnsi="Times New Roman"/>
          <w:b/>
        </w:rPr>
        <w:t>) OMPHALOCÈLE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Epidermisation progressive du </w:t>
      </w:r>
      <w:r>
        <w:rPr>
          <w:rFonts w:ascii="Times New Roman" w:hAnsi="Times New Roman"/>
        </w:rPr>
        <w:t>défect</w:t>
      </w:r>
      <w:r>
        <w:rPr>
          <w:rFonts w:ascii="Times New Roman" w:hAnsi="Times New Roman"/>
        </w:rPr>
        <w:t xml:space="preserve"> pariétal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 xml:space="preserve">Utilisation </w:t>
      </w:r>
      <w:r>
        <w:rPr>
          <w:rFonts w:ascii="Times New Roman" w:hAnsi="Times New Roman"/>
        </w:rPr>
        <w:t>d’Eosine</w:t>
      </w:r>
      <w:r>
        <w:rPr>
          <w:rFonts w:ascii="Times New Roman" w:hAnsi="Times New Roman"/>
        </w:rPr>
        <w:t xml:space="preserve"> aqueuse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Application continue</w:t>
      </w:r>
      <w:r>
        <w:rPr>
          <w:rFonts w:ascii="Times New Roman" w:hAnsi="Times New Roman"/>
        </w:rPr>
        <w:t xml:space="preserve"> d'éosine aqueuse au niveau </w:t>
      </w:r>
      <w:r>
        <w:rPr>
          <w:rFonts w:ascii="Times New Roman" w:hAnsi="Times New Roman"/>
        </w:rPr>
        <w:t>de l’Omphalocèle</w:t>
      </w:r>
    </w:p>
    <w:p>
      <w:pPr>
        <w:numPr>
          <w:ilvl w:val="4"/>
          <w:numId w:val="24"/>
        </w:numPr>
      </w:pPr>
      <w:r>
        <w:rPr>
          <w:rFonts w:ascii="Times New Roman" w:hAnsi="Times New Roman"/>
        </w:rPr>
        <w:t>Cure d'éventration à distance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Malformations fréquentes de la paroi abdominale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 xml:space="preserve">Diagnostic </w:t>
      </w:r>
      <w:r>
        <w:rPr>
          <w:rFonts w:ascii="Times New Roman" w:hAnsi="Times New Roman"/>
        </w:rPr>
        <w:t>prénatal :</w:t>
      </w:r>
      <w:r>
        <w:rPr>
          <w:rFonts w:ascii="Times New Roman" w:hAnsi="Times New Roman"/>
        </w:rPr>
        <w:t xml:space="preserve"> Echo+++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Chirurgie :</w:t>
      </w:r>
      <w:r>
        <w:rPr>
          <w:rFonts w:ascii="Times New Roman" w:hAnsi="Times New Roman"/>
        </w:rPr>
        <w:t xml:space="preserve"> place importante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 xml:space="preserve">Omphalocèle type </w:t>
      </w:r>
      <w:r>
        <w:rPr>
          <w:rFonts w:ascii="Times New Roman" w:hAnsi="Times New Roman"/>
        </w:rPr>
        <w:t>II :</w:t>
      </w:r>
      <w:r>
        <w:rPr>
          <w:rFonts w:ascii="Times New Roman" w:hAnsi="Times New Roman"/>
        </w:rPr>
        <w:t xml:space="preserve"> Schuster+++ </w:t>
      </w:r>
      <w:r>
        <w:rPr>
          <w:rFonts w:ascii="Times New Roman" w:hAnsi="Times New Roman"/>
          <w:i/>
        </w:rPr>
        <w:t xml:space="preserve">(pays développés) 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Tannage (Grob) : bons résultats</w:t>
      </w:r>
    </w:p>
    <w:p>
      <w:pPr/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