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STENOSE HYPERTROPHIQUE DU PYLORE</w:t>
      </w:r>
    </w:p>
    <w:p>
      <w:pPr/>
      <w:r>
        <w:rPr>
          <w:rFonts w:ascii="Times New Roman" w:hAnsi="Times New Roman"/>
          <w:i/>
        </w:rPr>
        <w:t>Suite à une hypertrophie de la paroi musculaire du pylore</w:t>
      </w:r>
    </w:p>
    <w:p>
      <w:pPr/>
      <w:r>
        <w:rPr>
          <w:rFonts w:ascii="Times New Roman" w:hAnsi="Times New Roman"/>
          <w:i/>
        </w:rPr>
        <w:t>Sténose progressive</w:t>
      </w:r>
    </w:p>
    <w:p>
      <w:pPr/>
      <w:r>
        <w:rPr>
          <w:rFonts w:ascii="Times New Roman" w:hAnsi="Times New Roman"/>
          <w:i/>
        </w:rPr>
        <w:t xml:space="preserve">Estomac se distend à la </w:t>
      </w:r>
      <w:r>
        <w:rPr>
          <w:rFonts w:ascii="Times New Roman" w:hAnsi="Times New Roman"/>
          <w:i/>
        </w:rPr>
        <w:t>longue :</w:t>
      </w:r>
      <w:r>
        <w:rPr>
          <w:rFonts w:ascii="Times New Roman" w:hAnsi="Times New Roman"/>
          <w:i/>
        </w:rPr>
        <w:t xml:space="preserve"> vomissement de plus en plus fréquent et explosive</w:t>
      </w:r>
    </w:p>
    <w:p>
      <w:pPr/>
      <w:r>
        <w:rPr>
          <w:rFonts w:ascii="Times New Roman" w:hAnsi="Times New Roman"/>
          <w:i/>
        </w:rPr>
        <w:t xml:space="preserve">A la </w:t>
      </w:r>
      <w:r>
        <w:rPr>
          <w:rFonts w:ascii="Times New Roman" w:hAnsi="Times New Roman"/>
          <w:i/>
        </w:rPr>
        <w:t>longue :</w:t>
      </w:r>
      <w:r>
        <w:rPr>
          <w:rFonts w:ascii="Times New Roman" w:hAnsi="Times New Roman"/>
          <w:i/>
        </w:rPr>
        <w:t xml:space="preserve"> estomac énorme, paroi fatigué, vomissement abondant avec des aliments ingérés la veille ou avant veille</w:t>
      </w:r>
    </w:p>
    <w:p>
      <w:pPr/>
      <w:r>
        <w:rPr>
          <w:rFonts w:ascii="Times New Roman" w:hAnsi="Times New Roman"/>
          <w:i/>
        </w:rPr>
        <w:t xml:space="preserve">Vomissement purement alimentaire, NON </w:t>
      </w:r>
      <w:r>
        <w:rPr>
          <w:rFonts w:ascii="Times New Roman" w:hAnsi="Times New Roman"/>
          <w:i/>
        </w:rPr>
        <w:t>BILIEUX (</w:t>
      </w:r>
      <w:r>
        <w:rPr>
          <w:rFonts w:ascii="Times New Roman" w:hAnsi="Times New Roman"/>
          <w:i/>
        </w:rPr>
        <w:t xml:space="preserve">abouchement de la </w:t>
      </w:r>
      <w:r>
        <w:rPr>
          <w:rFonts w:ascii="Times New Roman" w:hAnsi="Times New Roman"/>
          <w:i/>
        </w:rPr>
        <w:t>cholédoque</w:t>
      </w:r>
      <w:r>
        <w:rPr>
          <w:rFonts w:ascii="Times New Roman" w:hAnsi="Times New Roman"/>
          <w:i/>
        </w:rPr>
        <w:t xml:space="preserve"> and D2) parfois teinté de </w:t>
      </w:r>
      <w:r>
        <w:rPr>
          <w:rFonts w:ascii="Times New Roman" w:hAnsi="Times New Roman"/>
          <w:i/>
        </w:rPr>
        <w:t>sang :</w:t>
      </w:r>
      <w:r>
        <w:rPr>
          <w:rFonts w:ascii="Times New Roman" w:hAnsi="Times New Roman"/>
          <w:i/>
        </w:rPr>
        <w:t xml:space="preserve"> 05minutes</w:t>
      </w:r>
    </w:p>
    <w:p>
      <w:pPr/>
      <w:r>
        <w:rPr>
          <w:rFonts w:ascii="Times New Roman" w:hAnsi="Times New Roman"/>
          <w:i/>
        </w:rPr>
        <w:t>Tendance à une oligurie et déshydratation</w:t>
      </w:r>
    </w:p>
    <w:p>
      <w:pPr/>
      <w:r>
        <w:rPr>
          <w:rFonts w:ascii="Times New Roman" w:hAnsi="Times New Roman"/>
          <w:i/>
        </w:rPr>
        <w:t xml:space="preserve">À la </w:t>
      </w:r>
      <w:r>
        <w:rPr>
          <w:rFonts w:ascii="Times New Roman" w:hAnsi="Times New Roman"/>
          <w:i/>
        </w:rPr>
        <w:t>longue :</w:t>
      </w:r>
      <w:r>
        <w:rPr>
          <w:rFonts w:ascii="Times New Roman" w:hAnsi="Times New Roman"/>
          <w:i/>
        </w:rPr>
        <w:t xml:space="preserve"> constipation et cassure pondérale</w:t>
      </w:r>
    </w:p>
    <w:p>
      <w:pPr/>
    </w:p>
    <w:p>
      <w:pPr/>
      <w:r>
        <w:rPr>
          <w:rFonts w:ascii="Times New Roman" w:hAnsi="Times New Roman"/>
          <w:i/>
        </w:rPr>
        <w:t>A l'examen</w:t>
      </w:r>
    </w:p>
    <w:p>
      <w:pPr>
        <w:numPr>
          <w:ilvl w:val="0"/>
          <w:numId w:val="93"/>
        </w:numPr>
      </w:pPr>
      <w:r>
        <w:rPr>
          <w:rFonts w:ascii="Times New Roman" w:hAnsi="Times New Roman"/>
          <w:i/>
        </w:rPr>
        <w:t>Déshydratation</w:t>
      </w:r>
    </w:p>
    <w:p>
      <w:pPr>
        <w:numPr>
          <w:ilvl w:val="0"/>
          <w:numId w:val="93"/>
        </w:numPr>
      </w:pPr>
      <w:r>
        <w:rPr>
          <w:rFonts w:ascii="Times New Roman" w:hAnsi="Times New Roman"/>
          <w:i/>
        </w:rPr>
        <w:t xml:space="preserve">Abdomen </w:t>
      </w:r>
      <w:r>
        <w:rPr>
          <w:rFonts w:ascii="Times New Roman" w:hAnsi="Times New Roman"/>
          <w:i/>
        </w:rPr>
        <w:t>plat+Voussure</w:t>
      </w:r>
      <w:r>
        <w:rPr>
          <w:rFonts w:ascii="Times New Roman" w:hAnsi="Times New Roman"/>
          <w:i/>
        </w:rPr>
        <w:t xml:space="preserve"> épigastrique</w:t>
      </w:r>
    </w:p>
    <w:p>
      <w:pPr>
        <w:numPr>
          <w:ilvl w:val="0"/>
          <w:numId w:val="93"/>
        </w:numPr>
      </w:pPr>
      <w:r>
        <w:rPr>
          <w:rFonts w:ascii="Times New Roman" w:hAnsi="Times New Roman"/>
          <w:i/>
        </w:rPr>
        <w:t>Stimulation de la contraction gastrique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(</w:t>
      </w:r>
      <w:r>
        <w:rPr>
          <w:rFonts w:ascii="Times New Roman" w:hAnsi="Times New Roman"/>
          <w:i/>
        </w:rPr>
        <w:t>chiquenaude</w:t>
      </w:r>
      <w:r>
        <w:rPr>
          <w:rFonts w:ascii="Times New Roman" w:hAnsi="Times New Roman"/>
          <w:i/>
        </w:rPr>
        <w:t xml:space="preserve">) : onde péristaltique de gauche à </w:t>
      </w:r>
      <w:r>
        <w:rPr>
          <w:rFonts w:ascii="Times New Roman" w:hAnsi="Times New Roman"/>
          <w:i/>
        </w:rPr>
        <w:t>droite :</w:t>
      </w:r>
      <w:r>
        <w:rPr>
          <w:rFonts w:ascii="Times New Roman" w:hAnsi="Times New Roman"/>
          <w:i/>
        </w:rPr>
        <w:t xml:space="preserve"> contraction énergique de l'estomac contre l'obstacle</w:t>
      </w:r>
    </w:p>
    <w:p>
      <w:pPr>
        <w:numPr>
          <w:ilvl w:val="0"/>
          <w:numId w:val="93"/>
        </w:numPr>
      </w:pPr>
      <w:r>
        <w:rPr>
          <w:rFonts w:ascii="Times New Roman" w:hAnsi="Times New Roman"/>
          <w:i/>
        </w:rPr>
        <w:t>Clapotage à jeun</w:t>
      </w:r>
    </w:p>
    <w:p>
      <w:pPr>
        <w:numPr>
          <w:ilvl w:val="0"/>
          <w:numId w:val="93"/>
        </w:numPr>
      </w:pPr>
      <w:r>
        <w:rPr>
          <w:rFonts w:ascii="Times New Roman" w:hAnsi="Times New Roman"/>
          <w:i/>
        </w:rPr>
        <w:t xml:space="preserve">Diag </w:t>
      </w:r>
      <w:r>
        <w:rPr>
          <w:rFonts w:ascii="Times New Roman" w:hAnsi="Times New Roman"/>
          <w:i/>
        </w:rPr>
        <w:t>clé :</w:t>
      </w:r>
      <w:r>
        <w:rPr>
          <w:rFonts w:ascii="Times New Roman" w:hAnsi="Times New Roman"/>
          <w:i/>
        </w:rPr>
        <w:t xml:space="preserve"> échographie </w:t>
      </w:r>
      <w:r>
        <w:rPr>
          <w:rFonts w:ascii="Times New Roman" w:hAnsi="Times New Roman"/>
          <w:i/>
        </w:rPr>
        <w:t>pylorique :</w:t>
      </w:r>
      <w:r>
        <w:rPr>
          <w:rFonts w:ascii="Times New Roman" w:hAnsi="Times New Roman"/>
          <w:i/>
        </w:rPr>
        <w:t xml:space="preserve"> hypertrophie anormale</w:t>
      </w:r>
    </w:p>
    <w:p>
      <w:pPr/>
      <w:r>
        <w:rPr>
          <w:rFonts w:ascii="Times New Roman" w:hAnsi="Times New Roman"/>
          <w:i/>
        </w:rPr>
        <w:t xml:space="preserve">Traitement </w:t>
      </w:r>
      <w:r>
        <w:rPr>
          <w:rFonts w:ascii="Times New Roman" w:hAnsi="Times New Roman"/>
          <w:i/>
        </w:rPr>
        <w:t>chir</w:t>
      </w:r>
      <w:r>
        <w:rPr>
          <w:rFonts w:ascii="Times New Roman" w:hAnsi="Times New Roman"/>
          <w:i/>
        </w:rPr>
        <w:t>:</w:t>
      </w:r>
      <w:r>
        <w:rPr>
          <w:rFonts w:ascii="Times New Roman" w:hAnsi="Times New Roman"/>
          <w:i/>
        </w:rPr>
        <w:t xml:space="preserve"> couper la paroi musculaire du pylore </w:t>
      </w:r>
      <w:r>
        <w:rPr>
          <w:rFonts w:ascii="Times New Roman" w:hAnsi="Times New Roman"/>
          <w:b/>
          <w:i/>
        </w:rPr>
        <w:t>PYLOROTOMIE LONGITUDINALE EXTRA-MUQUEUSE</w:t>
      </w:r>
    </w:p>
    <w:p>
      <w:pPr/>
      <w:r>
        <w:rPr>
          <w:rFonts w:ascii="Times New Roman" w:hAnsi="Times New Roman"/>
          <w:i/>
        </w:rPr>
        <w:t>On ouvre le pylore, longitudinalement et on laisse la muqueuse</w:t>
      </w:r>
    </w:p>
    <w:p>
      <w:pPr/>
      <w:r>
        <w:rPr>
          <w:rFonts w:ascii="Times New Roman" w:hAnsi="Times New Roman"/>
          <w:i/>
        </w:rPr>
        <w:t>Le vomissement peut persister 1-3 jour après le traitement, l'estomac ayant besoin d'un peu de temps pour revenir à un fonctionnement normal</w:t>
      </w:r>
    </w:p>
    <w:p>
      <w:pPr/>
      <w:r>
        <w:rPr>
          <w:rFonts w:ascii="Times New Roman" w:hAnsi="Times New Roman"/>
          <w:i/>
        </w:rPr>
      </w:r>
    </w:p>
    <w:p>
      <w:pPr/>
      <w:r>
        <w:rPr>
          <w:rFonts w:ascii="Times New Roman" w:hAnsi="Times New Roman"/>
        </w:rPr>
        <w:t>Objectifs :</w:t>
      </w:r>
    </w:p>
    <w:p>
      <w:pPr>
        <w:numPr>
          <w:ilvl w:val="0"/>
          <w:numId w:val="94"/>
        </w:numPr>
      </w:pP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é</w:t>
      </w:r>
      <w:r>
        <w:rPr>
          <w:rFonts w:ascii="Times New Roman" w:hAnsi="Times New Roman"/>
        </w:rPr>
        <w:t>fi</w:t>
      </w:r>
      <w:r>
        <w:rPr>
          <w:rFonts w:ascii="Times New Roman" w:hAnsi="Times New Roman"/>
        </w:rPr>
        <w:t>nition</w:t>
      </w:r>
    </w:p>
    <w:p>
      <w:pPr>
        <w:numPr>
          <w:ilvl w:val="0"/>
          <w:numId w:val="94"/>
        </w:numPr>
      </w:pPr>
      <w:r>
        <w:rPr>
          <w:rFonts w:ascii="Times New Roman" w:hAnsi="Times New Roman"/>
        </w:rPr>
        <w:t>Etablir le diagnostic</w:t>
      </w:r>
    </w:p>
    <w:p>
      <w:pPr>
        <w:numPr>
          <w:ilvl w:val="0"/>
          <w:numId w:val="94"/>
        </w:numPr>
      </w:pPr>
      <w:r>
        <w:rPr>
          <w:rFonts w:ascii="Times New Roman" w:hAnsi="Times New Roman"/>
        </w:rPr>
        <w:t>Enumérer les formes cliniques</w:t>
      </w:r>
    </w:p>
    <w:p>
      <w:pPr>
        <w:numPr>
          <w:ilvl w:val="0"/>
          <w:numId w:val="94"/>
        </w:numPr>
      </w:pPr>
      <w:r>
        <w:rPr>
          <w:rFonts w:ascii="Times New Roman" w:hAnsi="Times New Roman"/>
        </w:rPr>
        <w:t>Citer les grandes lignes du traitement</w:t>
      </w:r>
    </w:p>
    <w:p>
      <w:pPr/>
    </w:p>
    <w:p>
      <w:pPr>
        <w:pStyle w:val="Heading2"/>
      </w:pPr>
      <w:r>
        <w:rPr/>
        <w:t>GENERALITES</w:t>
      </w:r>
    </w:p>
    <w:p>
      <w:pPr>
        <w:numPr>
          <w:ilvl w:val="0"/>
          <w:numId w:val="95"/>
        </w:numPr>
      </w:pPr>
      <w:r>
        <w:rPr>
          <w:rFonts w:ascii="Times New Roman" w:hAnsi="Times New Roman"/>
        </w:rPr>
        <w:t xml:space="preserve">Hypertrophie progressive des fibres musculaires du </w:t>
      </w:r>
      <w:r>
        <w:rPr>
          <w:rFonts w:ascii="Times New Roman" w:hAnsi="Times New Roman"/>
        </w:rPr>
        <w:t>pylore(</w:t>
      </w:r>
      <w:r>
        <w:rPr>
          <w:rFonts w:ascii="Times New Roman" w:hAnsi="Times New Roman"/>
        </w:rPr>
        <w:t>couche circulaire interne) comprimant le canal pylorique: obstacle à la vidange gastrique</w:t>
      </w:r>
    </w:p>
    <w:p>
      <w:pPr>
        <w:numPr>
          <w:ilvl w:val="0"/>
          <w:numId w:val="95"/>
        </w:numPr>
      </w:pPr>
      <w:r>
        <w:rPr>
          <w:rFonts w:ascii="Times New Roman" w:hAnsi="Times New Roman"/>
        </w:rPr>
        <w:t>Représente, avec le Rio, la cause la plus fréquente de vomissements chroniques du nourrisson : 2/1000-3000 naissances</w:t>
      </w:r>
    </w:p>
    <w:p>
      <w:pPr>
        <w:numPr>
          <w:ilvl w:val="0"/>
          <w:numId w:val="95"/>
        </w:numPr>
      </w:pPr>
      <w:r>
        <w:rPr>
          <w:rFonts w:ascii="Times New Roman" w:hAnsi="Times New Roman"/>
        </w:rPr>
        <w:t xml:space="preserve">Garçon </w:t>
      </w:r>
      <w:r>
        <w:rPr>
          <w:rFonts w:ascii="Times New Roman" w:hAnsi="Times New Roman"/>
          <w:i/>
        </w:rPr>
        <w:t xml:space="preserve">sup </w:t>
      </w:r>
      <w:r>
        <w:rPr>
          <w:rFonts w:ascii="Times New Roman" w:hAnsi="Times New Roman"/>
        </w:rPr>
        <w:t>fille, souvent garçon premier né</w:t>
      </w:r>
    </w:p>
    <w:p>
      <w:pPr>
        <w:numPr>
          <w:ilvl w:val="0"/>
          <w:numId w:val="95"/>
        </w:numPr>
      </w:pP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3:</w:t>
      </w:r>
      <w:r>
        <w:rPr>
          <w:rFonts w:ascii="Times New Roman" w:hAnsi="Times New Roman"/>
        </w:rPr>
        <w:t xml:space="preserve"> chirurgical après correction des troubles </w:t>
      </w:r>
      <w:r>
        <w:rPr>
          <w:rFonts w:ascii="Times New Roman" w:hAnsi="Times New Roman"/>
        </w:rPr>
        <w:t>hydroélectrolytiques</w:t>
      </w:r>
      <w:r>
        <w:rPr>
          <w:rFonts w:ascii="Times New Roman" w:hAnsi="Times New Roman"/>
        </w:rPr>
        <w:t>. Guérison rapidement obtenue</w:t>
      </w:r>
    </w:p>
    <w:p>
      <w:pPr/>
    </w:p>
    <w:p>
      <w:pPr>
        <w:pStyle w:val="Heading2"/>
      </w:pPr>
      <w:r>
        <w:rPr/>
        <w:t>DIAGNOSTIC POSITIF</w:t>
      </w:r>
    </w:p>
    <w:p>
      <w:pPr>
        <w:pStyle w:val="Heading3"/>
        <w:numPr>
          <w:ilvl w:val="0"/>
          <w:numId w:val="99"/>
        </w:numPr>
      </w:pPr>
      <w:r>
        <w:rPr/>
        <w:t>CLINIQUE</w:t>
      </w:r>
    </w:p>
    <w:p>
      <w:pPr>
        <w:numPr>
          <w:ilvl w:val="2"/>
          <w:numId w:val="96"/>
        </w:numPr>
      </w:pPr>
      <w:r>
        <w:rPr>
          <w:rFonts w:ascii="Times New Roman" w:hAnsi="Times New Roman"/>
        </w:rPr>
        <w:t>Manifestation :</w:t>
      </w:r>
      <w:r>
        <w:rPr>
          <w:rFonts w:ascii="Times New Roman" w:hAnsi="Times New Roman"/>
        </w:rPr>
        <w:t xml:space="preserve"> 3 à 4 semaines après la naissance (peut aller jusqu'à 2 mois). Pas de SHP après 3 mois. </w:t>
      </w:r>
    </w:p>
    <w:p>
      <w:pPr>
        <w:numPr>
          <w:ilvl w:val="2"/>
          <w:numId w:val="96"/>
        </w:numPr>
      </w:pPr>
      <w:r>
        <w:rPr>
          <w:rFonts w:ascii="Times New Roman" w:hAnsi="Times New Roman"/>
        </w:rPr>
        <w:t xml:space="preserve">Vomissements peu alarmants au début, puis deviennent rapidement </w:t>
      </w:r>
      <w:r>
        <w:rPr>
          <w:rFonts w:ascii="Times New Roman" w:hAnsi="Times New Roman"/>
          <w:b/>
        </w:rPr>
        <w:t xml:space="preserve">"explosifs, abondant, en jets, survenant à distance de la tête, alimentaires (lait caillé + liquide de stase) et jamais bilieux, exceptionnellement sanglants" </w:t>
      </w:r>
    </w:p>
    <w:p>
      <w:pPr>
        <w:pStyle w:val="Heading4"/>
      </w:pPr>
      <w:r>
        <w:rPr/>
        <w:t xml:space="preserve">Interrogatoire des </w:t>
      </w:r>
      <w:r>
        <w:rPr/>
        <w:t>parents :</w:t>
      </w:r>
    </w:p>
    <w:p>
      <w:pPr>
        <w:numPr>
          <w:ilvl w:val="2"/>
          <w:numId w:val="96"/>
        </w:numPr>
      </w:pPr>
      <w:r>
        <w:rPr>
          <w:rFonts w:ascii="Times New Roman" w:hAnsi="Times New Roman"/>
        </w:rPr>
        <w:t>Confirme l'apparition récente des vomissements et leur aggravation rapide</w:t>
      </w:r>
    </w:p>
    <w:p>
      <w:pPr>
        <w:numPr>
          <w:ilvl w:val="2"/>
          <w:numId w:val="96"/>
        </w:numPr>
      </w:pPr>
      <w:r>
        <w:rPr>
          <w:rFonts w:ascii="Times New Roman" w:hAnsi="Times New Roman"/>
        </w:rPr>
        <w:t xml:space="preserve">Retrouve </w:t>
      </w:r>
      <w:r>
        <w:rPr>
          <w:rFonts w:ascii="Times New Roman" w:hAnsi="Times New Roman"/>
          <w:b/>
        </w:rPr>
        <w:t>constipation, oligurie, cassure de la courbe pondérale</w:t>
      </w:r>
    </w:p>
    <w:p>
      <w:pPr>
        <w:numPr>
          <w:ilvl w:val="2"/>
          <w:numId w:val="96"/>
        </w:numPr>
      </w:pPr>
      <w:r>
        <w:rPr>
          <w:rFonts w:ascii="Times New Roman" w:hAnsi="Times New Roman"/>
        </w:rPr>
        <w:t xml:space="preserve">Note le caractère isolé des vomissements, sans contexte pathologique autre, tonus et appétit assez longtemps conservés. </w:t>
      </w:r>
    </w:p>
    <w:p>
      <w:pPr>
        <w:pStyle w:val="Heading4"/>
      </w:pPr>
      <w:r>
        <w:rPr/>
        <w:t xml:space="preserve">Examen clinique (réalisé à distance de la </w:t>
      </w:r>
      <w:r>
        <w:rPr/>
        <w:t>tétée</w:t>
      </w:r>
      <w:r>
        <w:rPr/>
        <w:t>):</w:t>
      </w:r>
    </w:p>
    <w:p>
      <w:pPr>
        <w:numPr>
          <w:ilvl w:val="2"/>
          <w:numId w:val="96"/>
        </w:numPr>
      </w:pPr>
      <w:r>
        <w:rPr>
          <w:rFonts w:ascii="Times New Roman" w:hAnsi="Times New Roman"/>
          <w:i/>
        </w:rPr>
        <w:t>Voussure épigastrique avec ondulations péristaltiques spontanées ou déclenchées, se déplaçant de gauche à droite, en relation avec les contractions de l'estomac luttant contre l'obstacle pylorique</w:t>
      </w:r>
    </w:p>
    <w:p>
      <w:pPr>
        <w:numPr>
          <w:ilvl w:val="2"/>
          <w:numId w:val="96"/>
        </w:numPr>
      </w:pPr>
      <w:r>
        <w:rPr>
          <w:rFonts w:ascii="Times New Roman" w:hAnsi="Times New Roman"/>
        </w:rPr>
        <w:t>Auscultation :</w:t>
      </w:r>
      <w:r>
        <w:rPr>
          <w:rFonts w:ascii="Times New Roman" w:hAnsi="Times New Roman"/>
        </w:rPr>
        <w:t xml:space="preserve"> clapotage à jeun (stase gastrique) </w:t>
      </w:r>
    </w:p>
    <w:p>
      <w:pPr>
        <w:numPr>
          <w:ilvl w:val="2"/>
          <w:numId w:val="96"/>
        </w:numPr>
      </w:pPr>
      <w:r>
        <w:rPr>
          <w:rFonts w:ascii="Times New Roman" w:hAnsi="Times New Roman"/>
        </w:rPr>
        <w:t>Abdomen plat et indolore</w:t>
      </w:r>
    </w:p>
    <w:p>
      <w:pPr>
        <w:numPr>
          <w:ilvl w:val="2"/>
          <w:numId w:val="96"/>
        </w:numPr>
      </w:pPr>
      <w:r>
        <w:rPr>
          <w:rFonts w:ascii="Times New Roman" w:hAnsi="Times New Roman"/>
        </w:rPr>
        <w:t>Palpation :</w:t>
      </w:r>
      <w:r>
        <w:rPr>
          <w:rFonts w:ascii="Times New Roman" w:hAnsi="Times New Roman"/>
        </w:rPr>
        <w:t xml:space="preserve"> Olive pylorique, palpable chez un bébé calme endormi dénutri, masse oblongue, très ferme, mobile, and HCD</w:t>
      </w:r>
    </w:p>
    <w:p>
      <w:pPr>
        <w:numPr>
          <w:ilvl w:val="2"/>
          <w:numId w:val="96"/>
        </w:numPr>
      </w:pPr>
      <w:r>
        <w:rPr>
          <w:rFonts w:ascii="Times New Roman" w:hAnsi="Times New Roman"/>
        </w:rPr>
        <w:t>Apprécier les signes de déshydratation et de dénutrition</w:t>
      </w:r>
    </w:p>
    <w:p>
      <w:pPr>
        <w:numPr>
          <w:ilvl w:val="2"/>
          <w:numId w:val="96"/>
        </w:numPr>
      </w:pPr>
      <w:r>
        <w:rPr>
          <w:rFonts w:ascii="Times New Roman" w:hAnsi="Times New Roman"/>
        </w:rPr>
        <w:t xml:space="preserve">Examen </w:t>
      </w:r>
      <w:r>
        <w:rPr>
          <w:rFonts w:ascii="Times New Roman" w:hAnsi="Times New Roman"/>
        </w:rPr>
        <w:t>pulmonaire :</w:t>
      </w:r>
      <w:r>
        <w:rPr>
          <w:rFonts w:ascii="Times New Roman" w:hAnsi="Times New Roman"/>
        </w:rPr>
        <w:t xml:space="preserve"> recherche de pneumopathie d'inhalation</w:t>
      </w:r>
    </w:p>
    <w:p>
      <w:pPr>
        <w:pStyle w:val="Heading3"/>
        <w:numPr>
          <w:ilvl w:val="0"/>
          <w:numId w:val="99"/>
        </w:numPr>
      </w:pPr>
      <w:r>
        <w:rPr>
          <w:rFonts w:ascii="Times New Roman" w:hAnsi="Times New Roman"/>
        </w:rPr>
        <w:t>IMAGERIE</w:t>
      </w:r>
    </w:p>
    <w:p>
      <w:pPr>
        <w:pStyle w:val="Heading4"/>
      </w:pPr>
      <w:r>
        <w:rPr/>
        <w:t>Echographie :</w:t>
      </w:r>
    </w:p>
    <w:p>
      <w:pPr>
        <w:numPr>
          <w:ilvl w:val="2"/>
          <w:numId w:val="96"/>
        </w:numPr>
      </w:pPr>
      <w:r>
        <w:rPr>
          <w:rFonts w:ascii="Times New Roman" w:hAnsi="Times New Roman"/>
        </w:rPr>
        <w:t xml:space="preserve">C'est l'examen </w:t>
      </w:r>
      <w:r>
        <w:rPr>
          <w:rFonts w:ascii="Times New Roman" w:hAnsi="Times New Roman"/>
        </w:rPr>
        <w:t>clé (</w:t>
      </w:r>
      <w:r>
        <w:rPr>
          <w:rFonts w:ascii="Times New Roman" w:hAnsi="Times New Roman"/>
        </w:rPr>
        <w:t xml:space="preserve">1er examen à demander) </w:t>
      </w:r>
    </w:p>
    <w:p>
      <w:pPr>
        <w:numPr>
          <w:ilvl w:val="2"/>
          <w:numId w:val="96"/>
        </w:numPr>
      </w:pPr>
      <w:r>
        <w:rPr>
          <w:rFonts w:ascii="Times New Roman" w:hAnsi="Times New Roman"/>
        </w:rPr>
        <w:t xml:space="preserve">Confirme </w:t>
      </w:r>
      <w:r>
        <w:rPr>
          <w:rFonts w:ascii="Times New Roman" w:hAnsi="Times New Roman"/>
        </w:rPr>
        <w:t>la stase gastrique</w:t>
      </w:r>
    </w:p>
    <w:p>
      <w:pPr>
        <w:numPr>
          <w:ilvl w:val="2"/>
          <w:numId w:val="96"/>
        </w:numPr>
      </w:pPr>
      <w:r>
        <w:rPr>
          <w:rFonts w:ascii="Times New Roman" w:hAnsi="Times New Roman"/>
        </w:rPr>
        <w:t xml:space="preserve">Analyse l'olive </w:t>
      </w:r>
      <w:r>
        <w:rPr>
          <w:rFonts w:ascii="Times New Roman" w:hAnsi="Times New Roman"/>
        </w:rPr>
        <w:t>pylorique :</w:t>
      </w:r>
      <w:r>
        <w:rPr>
          <w:rFonts w:ascii="Times New Roman" w:hAnsi="Times New Roman"/>
        </w:rPr>
        <w:t xml:space="preserve"> en coupe </w:t>
      </w:r>
      <w:r>
        <w:rPr>
          <w:rFonts w:ascii="Times New Roman" w:hAnsi="Times New Roman"/>
        </w:rPr>
        <w:t>transversale :</w:t>
      </w:r>
      <w:r>
        <w:rPr>
          <w:rFonts w:ascii="Times New Roman" w:hAnsi="Times New Roman"/>
        </w:rPr>
        <w:t xml:space="preserve"> aspect en cocarde à centre </w:t>
      </w:r>
      <w:r>
        <w:rPr>
          <w:rFonts w:ascii="Times New Roman" w:hAnsi="Times New Roman"/>
        </w:rPr>
        <w:t>hypoéchogène ;</w:t>
      </w:r>
      <w:r>
        <w:rPr>
          <w:rFonts w:ascii="Times New Roman" w:hAnsi="Times New Roman"/>
        </w:rPr>
        <w:t xml:space="preserve"> en coupe </w:t>
      </w:r>
      <w:r>
        <w:rPr>
          <w:rFonts w:ascii="Times New Roman" w:hAnsi="Times New Roman"/>
        </w:rPr>
        <w:t>longitudinale :</w:t>
      </w:r>
      <w:r>
        <w:rPr>
          <w:rFonts w:ascii="Times New Roman" w:hAnsi="Times New Roman"/>
        </w:rPr>
        <w:t xml:space="preserve"> pylore </w:t>
      </w:r>
      <w:r>
        <w:rPr>
          <w:rFonts w:ascii="Times New Roman" w:hAnsi="Times New Roman"/>
        </w:rPr>
        <w:t>allongé (</w:t>
      </w:r>
      <w:r>
        <w:rPr>
          <w:rFonts w:ascii="Times New Roman" w:hAnsi="Times New Roman"/>
        </w:rPr>
        <w:t xml:space="preserve">15 à 20 mm) et </w:t>
      </w:r>
      <w:r>
        <w:rPr>
          <w:rFonts w:ascii="Times New Roman" w:hAnsi="Times New Roman"/>
        </w:rPr>
        <w:t>épaissi (</w:t>
      </w:r>
      <w:r>
        <w:rPr>
          <w:rFonts w:ascii="Times New Roman" w:hAnsi="Times New Roman"/>
          <w:i/>
        </w:rPr>
        <w:t>sup</w:t>
      </w:r>
      <w:r>
        <w:rPr>
          <w:rFonts w:ascii="Times New Roman" w:hAnsi="Times New Roman"/>
        </w:rPr>
        <w:t xml:space="preserve"> à 3,5 mm) avec canal pylorique arciforme et rétréci</w:t>
      </w:r>
    </w:p>
    <w:p>
      <w:pPr>
        <w:pStyle w:val="Heading4"/>
      </w:pPr>
      <w:r>
        <w:rPr/>
        <w:t>ASP</w:t>
      </w:r>
    </w:p>
    <w:p>
      <w:pPr>
        <w:numPr>
          <w:ilvl w:val="2"/>
          <w:numId w:val="96"/>
        </w:numPr>
      </w:pPr>
      <w:r>
        <w:rPr>
          <w:rFonts w:ascii="Times New Roman" w:hAnsi="Times New Roman"/>
        </w:rPr>
        <w:t xml:space="preserve">Réalisé à distance de la tétée (4h minimum) </w:t>
      </w:r>
    </w:p>
    <w:p>
      <w:pPr>
        <w:numPr>
          <w:ilvl w:val="3"/>
          <w:numId w:val="96"/>
        </w:numPr>
      </w:pPr>
      <w:r>
        <w:rPr>
          <w:rFonts w:ascii="Times New Roman" w:hAnsi="Times New Roman"/>
        </w:rPr>
        <w:t>Estomac distendu avec liquide de stase et poche à air volumineuse</w:t>
      </w:r>
    </w:p>
    <w:p>
      <w:pPr>
        <w:numPr>
          <w:ilvl w:val="3"/>
          <w:numId w:val="96"/>
        </w:numPr>
      </w:pPr>
      <w:r>
        <w:rPr>
          <w:rFonts w:ascii="Times New Roman" w:hAnsi="Times New Roman"/>
        </w:rPr>
        <w:t>Aéroiléie</w:t>
      </w:r>
      <w:r>
        <w:rPr>
          <w:rFonts w:ascii="Times New Roman" w:hAnsi="Times New Roman"/>
        </w:rPr>
        <w:t xml:space="preserve"> et </w:t>
      </w:r>
      <w:r>
        <w:rPr>
          <w:rFonts w:ascii="Times New Roman" w:hAnsi="Times New Roman"/>
        </w:rPr>
        <w:t>aérocolie faible</w:t>
      </w:r>
    </w:p>
    <w:p>
      <w:pPr>
        <w:pStyle w:val="Heading4"/>
      </w:pPr>
      <w:r>
        <w:rPr/>
        <w:t>TOGD</w:t>
      </w:r>
    </w:p>
    <w:p>
      <w:pPr>
        <w:numPr>
          <w:ilvl w:val="2"/>
          <w:numId w:val="96"/>
        </w:numPr>
      </w:pPr>
      <w:r>
        <w:rPr>
          <w:rFonts w:ascii="Times New Roman" w:hAnsi="Times New Roman"/>
        </w:rPr>
        <w:t xml:space="preserve">Indication </w:t>
      </w:r>
      <w:r>
        <w:rPr>
          <w:rFonts w:ascii="Times New Roman" w:hAnsi="Times New Roman"/>
        </w:rPr>
        <w:t>rare :</w:t>
      </w:r>
      <w:r>
        <w:rPr>
          <w:rFonts w:ascii="Times New Roman" w:hAnsi="Times New Roman"/>
        </w:rPr>
        <w:t xml:space="preserve"> doute diagnostique ou crainte d'association avec hernie hiatale (syndrome de ROVIRALTA) </w:t>
      </w:r>
    </w:p>
    <w:p>
      <w:pPr>
        <w:pStyle w:val="Heading3"/>
        <w:numPr>
          <w:ilvl w:val="0"/>
          <w:numId w:val="99"/>
        </w:numPr>
      </w:pPr>
      <w:r>
        <w:rPr>
          <w:rFonts w:ascii="Times New Roman" w:hAnsi="Times New Roman"/>
          <w:b w:val="0"/>
        </w:rPr>
        <w:t>BIOLOGIE</w:t>
      </w:r>
    </w:p>
    <w:p>
      <w:pPr>
        <w:numPr>
          <w:ilvl w:val="1"/>
          <w:numId w:val="96"/>
        </w:numPr>
      </w:pPr>
      <w:r>
        <w:rPr>
          <w:rFonts w:ascii="Times New Roman" w:hAnsi="Times New Roman"/>
        </w:rPr>
        <w:t xml:space="preserve">Evalue la déshydratation et l'éventuelle dénutrition, conséquences des déperditions de liquide gastrique par le </w:t>
      </w:r>
      <w:r>
        <w:rPr>
          <w:rFonts w:ascii="Times New Roman" w:hAnsi="Times New Roman"/>
        </w:rPr>
        <w:t>vomissement :</w:t>
      </w:r>
    </w:p>
    <w:p>
      <w:pPr>
        <w:numPr>
          <w:ilvl w:val="2"/>
          <w:numId w:val="96"/>
        </w:numPr>
      </w:pPr>
      <w:r>
        <w:rPr>
          <w:rFonts w:ascii="Times New Roman" w:hAnsi="Times New Roman"/>
        </w:rPr>
        <w:t xml:space="preserve">Hématocrite élevé(hypovolémie) </w:t>
      </w:r>
    </w:p>
    <w:p>
      <w:pPr>
        <w:numPr>
          <w:ilvl w:val="2"/>
          <w:numId w:val="96"/>
        </w:numPr>
      </w:pPr>
      <w:r>
        <w:rPr>
          <w:rFonts w:ascii="Times New Roman" w:hAnsi="Times New Roman"/>
          <w:u w:val="single"/>
        </w:rPr>
        <w:t>Alcalose métabolique</w:t>
      </w:r>
      <w:r>
        <w:rPr>
          <w:rFonts w:ascii="Times New Roman" w:hAnsi="Times New Roman"/>
        </w:rPr>
        <w:t xml:space="preserve"> avec </w:t>
      </w:r>
      <w:r>
        <w:rPr>
          <w:rFonts w:ascii="Times New Roman" w:hAnsi="Times New Roman"/>
          <w:b/>
          <w:u w:val="single"/>
        </w:rPr>
        <w:t>hypochlorémie</w:t>
      </w:r>
      <w:r>
        <w:rPr>
          <w:rFonts w:ascii="Times New Roman" w:hAnsi="Times New Roman"/>
          <w:b/>
        </w:rPr>
        <w:t xml:space="preserve"> (</w:t>
      </w:r>
      <w:r>
        <w:rPr>
          <w:rFonts w:ascii="Times New Roman" w:hAnsi="Times New Roman"/>
          <w:b/>
          <w:u w:val="single"/>
        </w:rPr>
        <w:t xml:space="preserve">perte de </w:t>
      </w:r>
      <w:r>
        <w:rPr>
          <w:rFonts w:ascii="Times New Roman" w:hAnsi="Times New Roman"/>
          <w:b/>
          <w:u w:val="single"/>
        </w:rPr>
        <w:t>HCl</w:t>
      </w:r>
      <w:r>
        <w:rPr>
          <w:rFonts w:ascii="Times New Roman" w:hAnsi="Times New Roman"/>
          <w:b/>
          <w:u w:val="single"/>
        </w:rPr>
        <w:t xml:space="preserve"> </w:t>
      </w:r>
      <w:r>
        <w:rPr>
          <w:rFonts w:ascii="Times New Roman" w:hAnsi="Times New Roman"/>
          <w:b/>
          <w:u w:val="single"/>
        </w:rPr>
        <w:t>gastrique</w:t>
      </w:r>
      <w:r>
        <w:rPr>
          <w:rFonts w:ascii="Times New Roman" w:hAnsi="Times New Roman"/>
          <w:b/>
        </w:rPr>
        <w:t>) et</w:t>
      </w:r>
      <w:r>
        <w:rPr>
          <w:rFonts w:ascii="Times New Roman" w:hAnsi="Times New Roman"/>
          <w:b/>
        </w:rPr>
        <w:t xml:space="preserve"> hypokaliémie</w:t>
      </w:r>
      <w:r>
        <w:rPr>
          <w:rFonts w:ascii="Times New Roman" w:hAnsi="Times New Roman"/>
        </w:rPr>
        <w:t xml:space="preserve"> alors que </w:t>
      </w:r>
      <w:r>
        <w:rPr>
          <w:rFonts w:ascii="Times New Roman" w:hAnsi="Times New Roman"/>
          <w:b/>
        </w:rPr>
        <w:t>la natrémie est souvent subnormale</w:t>
      </w:r>
    </w:p>
    <w:p>
      <w:pPr>
        <w:numPr>
          <w:ilvl w:val="2"/>
          <w:numId w:val="96"/>
        </w:numPr>
      </w:pPr>
      <w:r>
        <w:rPr>
          <w:rFonts w:ascii="Times New Roman" w:hAnsi="Times New Roman"/>
        </w:rPr>
        <w:t>Hypochlorurie</w:t>
      </w:r>
    </w:p>
    <w:p>
      <w:pPr/>
    </w:p>
    <w:p>
      <w:pPr>
        <w:pStyle w:val="Heading2"/>
      </w:pPr>
      <w:r>
        <w:rPr/>
        <w:t>FORMES CLINIQUES</w:t>
      </w:r>
    </w:p>
    <w:p>
      <w:pPr>
        <w:numPr>
          <w:ilvl w:val="0"/>
          <w:numId w:val="97"/>
        </w:numPr>
      </w:pPr>
      <w:r>
        <w:rPr>
          <w:rFonts w:ascii="Times New Roman" w:hAnsi="Times New Roman"/>
          <w:b/>
        </w:rPr>
        <w:t xml:space="preserve">Forme à symptomatologie </w:t>
      </w:r>
      <w:r>
        <w:rPr>
          <w:rFonts w:ascii="Times New Roman" w:hAnsi="Times New Roman"/>
          <w:b/>
        </w:rPr>
        <w:t>précoce</w:t>
      </w:r>
      <w:r>
        <w:rPr>
          <w:rFonts w:ascii="Times New Roman" w:hAnsi="Times New Roman"/>
        </w:rPr>
        <w:t xml:space="preserve"> :</w:t>
      </w:r>
      <w:r>
        <w:rPr>
          <w:rFonts w:ascii="Times New Roman" w:hAnsi="Times New Roman"/>
        </w:rPr>
        <w:t xml:space="preserve"> vomissement dès les premiers jours de vie sans intervalle libre. Elle évoque </w:t>
      </w:r>
      <w:r>
        <w:rPr>
          <w:rFonts w:ascii="Times New Roman" w:hAnsi="Times New Roman"/>
          <w:b/>
        </w:rPr>
        <w:t>un RGO associé</w:t>
      </w:r>
    </w:p>
    <w:p>
      <w:pPr>
        <w:numPr>
          <w:ilvl w:val="0"/>
          <w:numId w:val="97"/>
        </w:numPr>
      </w:pPr>
      <w:r>
        <w:rPr>
          <w:rFonts w:ascii="Times New Roman" w:hAnsi="Times New Roman"/>
        </w:rPr>
        <w:t xml:space="preserve">Forme vue </w:t>
      </w:r>
      <w:r>
        <w:rPr>
          <w:rFonts w:ascii="Times New Roman" w:hAnsi="Times New Roman"/>
        </w:rPr>
        <w:t>tardivement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 xml:space="preserve">forme </w:t>
      </w:r>
      <w:r>
        <w:rPr>
          <w:rFonts w:ascii="Times New Roman" w:hAnsi="Times New Roman"/>
          <w:b/>
        </w:rPr>
        <w:t>marasmique</w:t>
      </w:r>
      <w:r>
        <w:rPr>
          <w:rFonts w:ascii="Times New Roman" w:hAnsi="Times New Roman"/>
        </w:rPr>
        <w:t xml:space="preserve"> avec retentissement manifeste sur l'état général et déshydratation sévère. Hypertrophie </w:t>
      </w:r>
      <w:r>
        <w:rPr>
          <w:rFonts w:ascii="Times New Roman" w:hAnsi="Times New Roman"/>
          <w:b/>
        </w:rPr>
        <w:t xml:space="preserve">considérable, </w:t>
      </w:r>
      <w:r>
        <w:rPr>
          <w:rFonts w:ascii="Times New Roman" w:hAnsi="Times New Roman"/>
        </w:rPr>
        <w:t xml:space="preserve">vomissements </w:t>
      </w:r>
      <w:r>
        <w:rPr>
          <w:rFonts w:ascii="Times New Roman" w:hAnsi="Times New Roman"/>
          <w:b/>
        </w:rPr>
        <w:t>loins</w:t>
      </w:r>
      <w:r>
        <w:rPr>
          <w:rFonts w:ascii="Times New Roman" w:hAnsi="Times New Roman"/>
          <w:b/>
        </w:rPr>
        <w:t xml:space="preserve"> des tétés et en quantité </w:t>
      </w:r>
      <w:r>
        <w:rPr>
          <w:rFonts w:ascii="Times New Roman" w:hAnsi="Times New Roman"/>
          <w:b/>
        </w:rPr>
        <w:t>abondante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  <w:u w:val="single"/>
        </w:rPr>
        <w:t>dilatation et hypotonie gastrique).</w:t>
      </w:r>
    </w:p>
    <w:p>
      <w:pPr>
        <w:numPr>
          <w:ilvl w:val="0"/>
          <w:numId w:val="97"/>
        </w:numPr>
      </w:pPr>
      <w:r>
        <w:rPr>
          <w:rFonts w:ascii="Times New Roman" w:hAnsi="Times New Roman"/>
          <w:b/>
        </w:rPr>
        <w:t xml:space="preserve">Formes avec vomissements striés de </w:t>
      </w:r>
      <w:r>
        <w:rPr>
          <w:rFonts w:ascii="Times New Roman" w:hAnsi="Times New Roman"/>
          <w:b/>
        </w:rPr>
        <w:t>sang :</w:t>
      </w:r>
      <w:r>
        <w:rPr>
          <w:rFonts w:ascii="Times New Roman" w:hAnsi="Times New Roman"/>
        </w:rPr>
        <w:t xml:space="preserve"> secondaire à une </w:t>
      </w:r>
      <w:r>
        <w:rPr>
          <w:rFonts w:ascii="Times New Roman" w:hAnsi="Times New Roman"/>
          <w:b/>
        </w:rPr>
        <w:t>œsophagite</w:t>
      </w:r>
      <w:r>
        <w:rPr>
          <w:rFonts w:ascii="Times New Roman" w:hAnsi="Times New Roman"/>
          <w:b/>
        </w:rPr>
        <w:t xml:space="preserve"> peptique par </w:t>
      </w:r>
      <w:r>
        <w:rPr>
          <w:rFonts w:ascii="Times New Roman" w:hAnsi="Times New Roman"/>
          <w:b/>
        </w:rPr>
        <w:t>RGO(</w:t>
      </w:r>
      <w:r>
        <w:rPr>
          <w:rFonts w:ascii="Times New Roman" w:hAnsi="Times New Roman"/>
          <w:b/>
        </w:rPr>
        <w:t xml:space="preserve">13%) </w:t>
      </w:r>
      <w:r>
        <w:rPr>
          <w:rFonts w:ascii="Times New Roman" w:hAnsi="Times New Roman"/>
        </w:rPr>
        <w:t>qui disparaît après traitement de la SHP. Rarement secondaire à une dilatation gastrique importante ou à un sd de Mallory-Weiss</w:t>
      </w:r>
    </w:p>
    <w:p>
      <w:pPr>
        <w:numPr>
          <w:ilvl w:val="0"/>
          <w:numId w:val="97"/>
        </w:numPr>
      </w:pPr>
      <w:r>
        <w:rPr>
          <w:rFonts w:ascii="Times New Roman" w:hAnsi="Times New Roman"/>
          <w:b/>
        </w:rPr>
        <w:t xml:space="preserve">SHP et </w:t>
      </w:r>
      <w:r>
        <w:rPr>
          <w:rFonts w:ascii="Times New Roman" w:hAnsi="Times New Roman"/>
          <w:b/>
        </w:rPr>
        <w:t>ictère :</w:t>
      </w:r>
      <w:r>
        <w:rPr>
          <w:rFonts w:ascii="Times New Roman" w:hAnsi="Times New Roman"/>
        </w:rPr>
        <w:t xml:space="preserve"> secondaire à une obstruction mécanique des voies biliaires par l'olive, ou bien conséquence du jeûne relatif qu'entraine le défaut de passage </w:t>
      </w:r>
      <w:r>
        <w:rPr>
          <w:rFonts w:ascii="Times New Roman" w:hAnsi="Times New Roman"/>
        </w:rPr>
        <w:t>pyloro</w:t>
      </w:r>
      <w:r>
        <w:rPr>
          <w:rFonts w:ascii="Times New Roman" w:hAnsi="Times New Roman"/>
        </w:rPr>
        <w:t>-duodénal</w:t>
      </w:r>
    </w:p>
    <w:p>
      <w:pPr/>
    </w:p>
    <w:p>
      <w:pPr>
        <w:pStyle w:val="Heading2"/>
      </w:pPr>
      <w:r>
        <w:rPr/>
        <w:t>DIAGNOSTIC DIFFERENTIEL</w:t>
      </w:r>
    </w:p>
    <w:p>
      <w:pPr>
        <w:numPr>
          <w:ilvl w:val="0"/>
          <w:numId w:val="98"/>
        </w:numPr>
      </w:pPr>
      <w:r>
        <w:rPr>
          <w:rFonts w:ascii="Times New Roman" w:hAnsi="Times New Roman"/>
        </w:rPr>
        <w:t xml:space="preserve">Vomissements alimentaires des premiers </w:t>
      </w:r>
      <w:r>
        <w:rPr>
          <w:rFonts w:ascii="Times New Roman" w:hAnsi="Times New Roman"/>
        </w:rPr>
        <w:t>jours :</w:t>
      </w:r>
    </w:p>
    <w:p>
      <w:pPr>
        <w:numPr>
          <w:ilvl w:val="1"/>
          <w:numId w:val="98"/>
        </w:numPr>
      </w:pPr>
      <w:r>
        <w:rPr>
          <w:rFonts w:ascii="Times New Roman" w:hAnsi="Times New Roman"/>
        </w:rPr>
        <w:t>RGO</w:t>
      </w:r>
    </w:p>
    <w:p>
      <w:pPr>
        <w:numPr>
          <w:ilvl w:val="1"/>
          <w:numId w:val="98"/>
        </w:numPr>
      </w:pPr>
      <w:r>
        <w:rPr>
          <w:rFonts w:ascii="Times New Roman" w:hAnsi="Times New Roman"/>
        </w:rPr>
        <w:t>Hernie hiatale</w:t>
      </w:r>
    </w:p>
    <w:p>
      <w:pPr>
        <w:numPr>
          <w:ilvl w:val="1"/>
          <w:numId w:val="98"/>
        </w:numPr>
      </w:pPr>
      <w:r>
        <w:rPr>
          <w:rFonts w:ascii="Times New Roman" w:hAnsi="Times New Roman"/>
        </w:rPr>
        <w:t>Sténose duodénale</w:t>
      </w:r>
    </w:p>
    <w:p>
      <w:pPr>
        <w:numPr>
          <w:ilvl w:val="1"/>
          <w:numId w:val="98"/>
        </w:numPr>
      </w:pPr>
      <w:r>
        <w:rPr>
          <w:rFonts w:ascii="Times New Roman" w:hAnsi="Times New Roman"/>
        </w:rPr>
        <w:t>Atrésie congénitale du pylore</w:t>
      </w:r>
    </w:p>
    <w:p>
      <w:pPr>
        <w:numPr>
          <w:ilvl w:val="1"/>
          <w:numId w:val="98"/>
        </w:numPr>
      </w:pPr>
      <w:r>
        <w:rPr>
          <w:rFonts w:ascii="Times New Roman" w:hAnsi="Times New Roman"/>
        </w:rPr>
        <w:t>Duplication duodénale</w:t>
      </w:r>
    </w:p>
    <w:p>
      <w:pPr>
        <w:numPr>
          <w:ilvl w:val="0"/>
          <w:numId w:val="98"/>
        </w:numPr>
      </w:pPr>
      <w:r>
        <w:rPr>
          <w:rFonts w:ascii="Times New Roman" w:hAnsi="Times New Roman"/>
        </w:rPr>
        <w:t xml:space="preserve">Vomissements alimentaires </w:t>
      </w:r>
      <w:r>
        <w:rPr>
          <w:rFonts w:ascii="Times New Roman" w:hAnsi="Times New Roman"/>
        </w:rPr>
        <w:t>secondaires :</w:t>
      </w:r>
    </w:p>
    <w:p>
      <w:pPr>
        <w:numPr>
          <w:ilvl w:val="1"/>
          <w:numId w:val="98"/>
        </w:numPr>
      </w:pPr>
      <w:r>
        <w:rPr>
          <w:rFonts w:ascii="Times New Roman" w:hAnsi="Times New Roman"/>
        </w:rPr>
        <w:t>Pylorospasme</w:t>
      </w:r>
      <w:r>
        <w:rPr>
          <w:rFonts w:ascii="Times New Roman" w:hAnsi="Times New Roman"/>
        </w:rPr>
        <w:t xml:space="preserve"> par dysfonctionnement neurologique</w:t>
      </w:r>
    </w:p>
    <w:p>
      <w:pPr>
        <w:numPr>
          <w:ilvl w:val="1"/>
          <w:numId w:val="98"/>
        </w:numPr>
      </w:pPr>
      <w:r>
        <w:rPr>
          <w:rFonts w:ascii="Times New Roman" w:hAnsi="Times New Roman"/>
        </w:rPr>
        <w:t>Intolérance au lait, au fructose</w:t>
      </w:r>
    </w:p>
    <w:p>
      <w:pPr>
        <w:numPr>
          <w:ilvl w:val="1"/>
          <w:numId w:val="98"/>
        </w:numPr>
      </w:pPr>
      <w:r>
        <w:rPr>
          <w:rFonts w:ascii="Times New Roman" w:hAnsi="Times New Roman"/>
        </w:rPr>
        <w:t>Galactosémie</w:t>
      </w:r>
    </w:p>
    <w:p>
      <w:pPr>
        <w:numPr>
          <w:ilvl w:val="1"/>
          <w:numId w:val="98"/>
        </w:numPr>
      </w:pPr>
      <w:r>
        <w:rPr>
          <w:rFonts w:ascii="Times New Roman" w:hAnsi="Times New Roman"/>
        </w:rPr>
        <w:t>Erreurs diététiques</w:t>
      </w:r>
    </w:p>
    <w:p>
      <w:pPr/>
    </w:p>
    <w:p>
      <w:pPr>
        <w:pStyle w:val="Heading2"/>
      </w:pPr>
      <w:r>
        <w:rPr/>
        <w:t>ETIOLOGIE ET PATHOGENIE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