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atresie de voies biliaire</w:t>
      </w:r>
      <w:r>
        <w:rPr/>
        <w:t>s</w:t>
      </w:r>
    </w:p>
    <w:p>
      <w:pPr/>
      <w:r>
        <w:rPr/>
        <w:t>Pr Hunald</w:t>
      </w:r>
    </w:p>
    <w:p>
      <w:pPr>
        <w:pStyle w:val="Heading2"/>
      </w:pPr>
      <w:r>
        <w:rPr/>
        <w:t xml:space="preserve">Introduction </w:t>
      </w:r>
    </w:p>
    <w:p>
      <w:pPr>
        <w:pStyle w:val="Heading3"/>
      </w:pPr>
      <w:r>
        <w:rPr/>
        <w:t>Définition</w:t>
      </w:r>
    </w:p>
    <w:p>
      <w:pPr/>
      <w:r>
        <w:rPr/>
        <w:t>Pathologie se développant à la fin du 1</w:t>
      </w:r>
      <w:r>
        <w:rPr/>
        <w:t>er</w:t>
      </w:r>
      <w:r>
        <w:rPr/>
        <w:t xml:space="preserve"> trimestre de grossesse</w:t>
      </w:r>
    </w:p>
    <w:p>
      <w:pPr/>
      <w:r>
        <w:rPr/>
        <w:t xml:space="preserve">Oblitération complète ou segmentaire de la voie biliaire principale extra hépatique </w:t>
      </w:r>
    </w:p>
    <w:p>
      <w:pPr/>
      <w:r>
        <w:rPr/>
        <w:t xml:space="preserve">Oblitération pus ou mois étendu des voies biliaire intra hépatique </w:t>
      </w:r>
    </w:p>
    <w:p>
      <w:pPr/>
      <w:r>
        <w:rPr/>
        <w:t xml:space="preserve">Fibrose d’espace portes </w:t>
      </w:r>
    </w:p>
    <w:p>
      <w:pPr/>
      <w:r>
        <w:rPr/>
        <w:t xml:space="preserve">Syndrome de </w:t>
      </w:r>
      <w:r>
        <w:rPr/>
        <w:t>polysplénie</w:t>
      </w:r>
      <w:r>
        <w:rPr/>
        <w:t xml:space="preserve"> dans 5 à 10% des cas </w:t>
      </w:r>
    </w:p>
    <w:p>
      <w:pPr/>
      <w:r>
        <w:rPr/>
        <w:t>2volustio ve</w:t>
      </w:r>
      <w:r>
        <w:rPr/>
        <w:t>r</w:t>
      </w:r>
      <w:r>
        <w:rPr/>
        <w:t>s la cirrhose et décès si non traitées dan</w:t>
      </w:r>
      <w:r>
        <w:rPr/>
        <w:t>s</w:t>
      </w:r>
      <w:r>
        <w:rPr/>
        <w:t xml:space="preserve"> la 1ree année de la vie </w:t>
      </w:r>
    </w:p>
    <w:p>
      <w:pPr/>
      <w:r>
        <w:rPr/>
        <w:t>Urgence</w:t>
      </w:r>
      <w:r>
        <w:rPr/>
        <w:t xml:space="preserve"> diagnostique et thérapeutique dans la plupart des cas </w:t>
      </w:r>
      <w:r>
        <w:rPr/>
        <w:t>transplantation</w:t>
      </w:r>
      <w:r>
        <w:rPr/>
        <w:t xml:space="preserve"> hépatique </w:t>
      </w:r>
    </w:p>
    <w:p>
      <w:pPr>
        <w:pStyle w:val="Heading2"/>
      </w:pPr>
      <w:r>
        <w:rPr/>
        <w:t>Objectif</w:t>
      </w:r>
      <w:r>
        <w:rPr/>
        <w:t>s</w:t>
      </w:r>
    </w:p>
    <w:p>
      <w:pPr/>
      <w:r>
        <w:rPr/>
        <w:t xml:space="preserve">Enumérer la </w:t>
      </w:r>
      <w:r>
        <w:rPr/>
        <w:t>classification</w:t>
      </w:r>
      <w:r>
        <w:rPr/>
        <w:t xml:space="preserve"> </w:t>
      </w:r>
      <w:r>
        <w:rPr/>
        <w:t>anotmo</w:t>
      </w:r>
      <w:r>
        <w:rPr/>
        <w:t>-pa</w:t>
      </w:r>
      <w:r>
        <w:rPr/>
        <w:t>thologique</w:t>
      </w:r>
    </w:p>
    <w:p>
      <w:pPr/>
      <w:r>
        <w:rPr/>
        <w:t xml:space="preserve"> D</w:t>
      </w:r>
      <w:r>
        <w:rPr/>
        <w:t>é</w:t>
      </w:r>
      <w:r>
        <w:rPr/>
        <w:t>cri</w:t>
      </w:r>
      <w:r>
        <w:rPr/>
        <w:t>re la physiopatho</w:t>
      </w:r>
      <w:r>
        <w:rPr/>
        <w:t>l</w:t>
      </w:r>
      <w:r>
        <w:rPr/>
        <w:t>o</w:t>
      </w:r>
      <w:r>
        <w:rPr/>
        <w:t>gi</w:t>
      </w:r>
      <w:r>
        <w:rPr/>
        <w:t xml:space="preserve">e </w:t>
      </w:r>
    </w:p>
    <w:p>
      <w:pPr/>
      <w:r>
        <w:rPr/>
        <w:t xml:space="preserve">Enumérer </w:t>
      </w:r>
      <w:r>
        <w:rPr/>
        <w:t>l’élément</w:t>
      </w:r>
      <w:r>
        <w:rPr/>
        <w:t xml:space="preserve"> du diagnostic positif</w:t>
      </w:r>
    </w:p>
    <w:p>
      <w:pPr/>
      <w:r>
        <w:rPr/>
        <w:t xml:space="preserve"> Décrire les principes du traitement </w:t>
      </w:r>
    </w:p>
    <w:p>
      <w:pPr/>
      <w:r>
        <w:rPr/>
        <w:t>Enumérer</w:t>
      </w:r>
      <w:r>
        <w:rPr/>
        <w:t xml:space="preserve"> </w:t>
      </w:r>
      <w:r>
        <w:rPr/>
        <w:t>les éléments</w:t>
      </w:r>
      <w:r>
        <w:rPr/>
        <w:t xml:space="preserve"> de surveillance et les</w:t>
      </w:r>
      <w:r>
        <w:rPr/>
        <w:t xml:space="preserve"> complications</w:t>
      </w:r>
      <w:r>
        <w:rPr/>
        <w:t xml:space="preserve"> thérapeutiques</w:t>
      </w:r>
    </w:p>
    <w:p>
      <w:pPr>
        <w:pStyle w:val="Heading2"/>
      </w:pPr>
      <w:r>
        <w:rPr/>
        <w:t xml:space="preserve">Epidémiologie </w:t>
      </w:r>
    </w:p>
    <w:p>
      <w:pPr/>
      <w:r>
        <w:rPr/>
        <w:t>Cause la plus fréquente de cholestase néonatale (50%)</w:t>
      </w:r>
    </w:p>
    <w:p>
      <w:pPr/>
      <w:r>
        <w:rPr/>
        <w:t>Incidence</w:t>
      </w:r>
      <w:r>
        <w:rPr/>
        <w:t xml:space="preserve"> variable</w:t>
      </w:r>
      <w:r>
        <w:rPr/>
        <w:t xml:space="preserve"> (5 – 32/ 10000 naissance vivantes)</w:t>
      </w:r>
    </w:p>
    <w:p>
      <w:pPr/>
      <w:r>
        <w:rPr/>
        <w:t>Même fréquence chez les deux sexes</w:t>
      </w:r>
    </w:p>
    <w:p>
      <w:pPr/>
      <w:r>
        <w:rPr/>
        <w:t>16 cas colligée ne 5 ans à l’HUJRA (juin 2006 – juin 2011)</w:t>
      </w:r>
    </w:p>
    <w:p>
      <w:pPr>
        <w:pStyle w:val="Heading2"/>
      </w:pPr>
      <w:r>
        <w:rPr/>
        <w:t>Physiopathologie</w:t>
      </w:r>
    </w:p>
    <w:p>
      <w:pPr/>
      <w:r>
        <w:rPr/>
        <w:t xml:space="preserve">Défaut de développent </w:t>
      </w:r>
      <w:r>
        <w:rPr/>
        <w:t>des voies biliaires</w:t>
      </w:r>
      <w:r>
        <w:rPr/>
        <w:t xml:space="preserve"> discuté </w:t>
      </w:r>
    </w:p>
    <w:p>
      <w:pPr/>
      <w:r>
        <w:rPr/>
        <w:t xml:space="preserve">Atteinte secondaire aux courses de la vie fœtale </w:t>
      </w:r>
    </w:p>
    <w:p>
      <w:pPr/>
      <w:r>
        <w:rPr/>
        <w:t>Etiologie inconnue</w:t>
      </w:r>
    </w:p>
    <w:p>
      <w:pPr/>
      <w:r>
        <w:rPr/>
        <w:t xml:space="preserve">Hypothèse pathogénique s évoquées </w:t>
      </w:r>
    </w:p>
    <w:p>
      <w:pPr>
        <w:numPr>
          <w:ilvl w:val="1"/>
          <w:numId w:val="8"/>
        </w:numPr>
      </w:pPr>
      <w:r>
        <w:rPr/>
        <w:t>Virale (</w:t>
      </w:r>
      <w:r>
        <w:rPr/>
        <w:t>réovirus</w:t>
      </w:r>
      <w:r>
        <w:rPr/>
        <w:t>, rotavirus)</w:t>
      </w:r>
    </w:p>
    <w:p>
      <w:pPr>
        <w:numPr>
          <w:ilvl w:val="1"/>
          <w:numId w:val="8"/>
        </w:numPr>
      </w:pPr>
      <w:r>
        <w:rPr/>
        <w:t xml:space="preserve">Génétique </w:t>
      </w:r>
    </w:p>
    <w:p>
      <w:pPr>
        <w:numPr>
          <w:ilvl w:val="1"/>
          <w:numId w:val="8"/>
        </w:numPr>
      </w:pPr>
      <w:r>
        <w:rPr/>
        <w:t xml:space="preserve">Immunologue </w:t>
      </w:r>
    </w:p>
    <w:p>
      <w:pPr/>
      <w:r>
        <w:rPr/>
        <w:t>Syndrome malformatif 10 – 20 %</w:t>
      </w:r>
    </w:p>
    <w:p>
      <w:pPr/>
      <w:r>
        <w:rPr/>
        <w:t xml:space="preserve">Voies biliaires </w:t>
      </w:r>
    </w:p>
    <w:p>
      <w:pPr>
        <w:numPr>
          <w:ilvl w:val="1"/>
          <w:numId w:val="8"/>
        </w:numPr>
      </w:pPr>
      <w:r>
        <w:rPr/>
        <w:t xml:space="preserve">Oblitération </w:t>
      </w:r>
    </w:p>
    <w:p>
      <w:pPr>
        <w:numPr>
          <w:ilvl w:val="1"/>
          <w:numId w:val="8"/>
        </w:numPr>
      </w:pPr>
      <w:r>
        <w:rPr/>
        <w:t>Complètes ou incomplète</w:t>
      </w:r>
    </w:p>
    <w:p>
      <w:pPr/>
      <w:r>
        <w:rPr/>
        <w:t>Cholestase</w:t>
      </w:r>
    </w:p>
    <w:p>
      <w:pPr>
        <w:numPr>
          <w:ilvl w:val="1"/>
          <w:numId w:val="8"/>
        </w:numPr>
      </w:pPr>
      <w:r>
        <w:rPr/>
        <w:t xml:space="preserve">Hépatique </w:t>
      </w:r>
    </w:p>
    <w:p>
      <w:pPr>
        <w:numPr>
          <w:ilvl w:val="1"/>
          <w:numId w:val="8"/>
        </w:numPr>
      </w:pPr>
      <w:r>
        <w:rPr/>
        <w:t>Ictère, selles décolorées, urine foncée</w:t>
      </w:r>
    </w:p>
    <w:p>
      <w:pPr/>
      <w:r>
        <w:rPr/>
        <w:t>Cirrhose</w:t>
      </w:r>
    </w:p>
    <w:p>
      <w:pPr>
        <w:numPr>
          <w:ilvl w:val="1"/>
          <w:numId w:val="8"/>
        </w:numPr>
      </w:pPr>
      <w:r>
        <w:rPr/>
        <w:t>Biliaire</w:t>
      </w:r>
    </w:p>
    <w:p>
      <w:pPr>
        <w:numPr>
          <w:ilvl w:val="1"/>
          <w:numId w:val="8"/>
        </w:numPr>
      </w:pPr>
      <w:r>
        <w:rPr/>
        <w:t>Fibrose et anomalie fonctionnels</w:t>
      </w:r>
    </w:p>
    <w:p>
      <w:pPr/>
      <w:r>
        <w:rPr/>
        <w:t xml:space="preserve">Destruction </w:t>
      </w:r>
    </w:p>
    <w:p>
      <w:pPr>
        <w:numPr>
          <w:ilvl w:val="1"/>
          <w:numId w:val="8"/>
        </w:numPr>
      </w:pPr>
      <w:r>
        <w:rPr/>
        <w:t>HTAP</w:t>
      </w:r>
    </w:p>
    <w:p>
      <w:pPr>
        <w:numPr>
          <w:ilvl w:val="1"/>
          <w:numId w:val="8"/>
        </w:numPr>
      </w:pPr>
      <w:r>
        <w:rPr/>
        <w:t xml:space="preserve">Insuffisance hépatocellulaire </w:t>
      </w:r>
    </w:p>
    <w:p>
      <w:pPr>
        <w:numPr>
          <w:ilvl w:val="1"/>
          <w:numId w:val="8"/>
        </w:numPr>
      </w:pPr>
      <w:r>
        <w:rPr/>
        <w:t>Décès en quels mois à deux ans</w:t>
      </w:r>
    </w:p>
    <w:p>
      <w:pPr>
        <w:pStyle w:val="Heading2"/>
      </w:pPr>
      <w:r>
        <w:rPr/>
        <w:t>Diagnostique clinique</w:t>
      </w:r>
    </w:p>
    <w:p>
      <w:pPr>
        <w:pStyle w:val="Heading3"/>
      </w:pPr>
      <w:r>
        <w:rPr/>
        <w:t>Anamnèse</w:t>
      </w:r>
    </w:p>
    <w:p>
      <w:pPr/>
      <w:r>
        <w:rPr/>
        <w:t xml:space="preserve">Grossesse sans particularité, sans infection </w:t>
      </w:r>
      <w:r>
        <w:rPr/>
        <w:t>materno-foetale</w:t>
      </w:r>
      <w:r>
        <w:rPr/>
        <w:t xml:space="preserve"> </w:t>
      </w:r>
    </w:p>
    <w:p>
      <w:pPr/>
      <w:r>
        <w:rPr/>
        <w:t>Hépatite virale éliminée</w:t>
      </w:r>
    </w:p>
    <w:p>
      <w:pPr/>
      <w:r>
        <w:rPr/>
        <w:t xml:space="preserve">Signes de cholestase d’apparition très précoce </w:t>
      </w:r>
    </w:p>
    <w:p>
      <w:pPr/>
      <w:r>
        <w:rPr/>
        <w:t xml:space="preserve">Ictère persistant après 2 semaines de vie </w:t>
      </w:r>
    </w:p>
    <w:p>
      <w:pPr/>
      <w:r>
        <w:rPr/>
        <w:t xml:space="preserve">Selles décolorées </w:t>
      </w:r>
    </w:p>
    <w:p>
      <w:pPr>
        <w:numPr>
          <w:ilvl w:val="1"/>
          <w:numId w:val="8"/>
        </w:numPr>
      </w:pPr>
      <w:r>
        <w:rPr/>
        <w:t xml:space="preserve">Souvent complète </w:t>
      </w:r>
    </w:p>
    <w:p>
      <w:pPr>
        <w:numPr>
          <w:ilvl w:val="1"/>
          <w:numId w:val="8"/>
        </w:numPr>
      </w:pPr>
      <w:r>
        <w:rPr/>
        <w:t xml:space="preserve">Persistantes </w:t>
      </w:r>
    </w:p>
    <w:p>
      <w:pPr>
        <w:numPr>
          <w:ilvl w:val="1"/>
          <w:numId w:val="8"/>
        </w:numPr>
      </w:pPr>
      <w:r>
        <w:rPr/>
        <w:t xml:space="preserve">D’emblée ou après quelques jours </w:t>
      </w:r>
    </w:p>
    <w:p>
      <w:pPr>
        <w:numPr>
          <w:ilvl w:val="1"/>
          <w:numId w:val="8"/>
        </w:numPr>
      </w:pPr>
      <w:r>
        <w:rPr/>
        <w:t>Urines foncées</w:t>
      </w:r>
    </w:p>
    <w:p>
      <w:pPr/>
      <w:r>
        <w:rPr/>
        <w:t>Hépatomégalie</w:t>
      </w:r>
    </w:p>
    <w:p>
      <w:pPr/>
      <w:r>
        <w:rPr>
          <w:color w:val="FF0000"/>
        </w:rPr>
        <w:t xml:space="preserve">Ictère pathologique : présent précocement ou persistant plus de 10 jours, urine foncée et selle décolorée (jusqu’à preuve de contraire) = urgence diagnostique et thérapeutique  </w:t>
      </w:r>
    </w:p>
    <w:p>
      <w:pPr>
        <w:pStyle w:val="Heading3"/>
      </w:pPr>
      <w:r>
        <w:rPr/>
        <w:t>Stade tardif</w:t>
      </w:r>
    </w:p>
    <w:p>
      <w:pPr/>
      <w:r>
        <w:rPr/>
        <w:t>Signe de cirrhose compensée</w:t>
      </w:r>
    </w:p>
    <w:p>
      <w:pPr/>
      <w:r>
        <w:rPr/>
        <w:t>Cirrhose décompensée</w:t>
      </w:r>
    </w:p>
    <w:p>
      <w:pPr>
        <w:numPr>
          <w:ilvl w:val="1"/>
          <w:numId w:val="8"/>
        </w:numPr>
      </w:pPr>
      <w:r>
        <w:rPr/>
        <w:t xml:space="preserve">HTAP et d’insuffisance hépatocellulaire </w:t>
      </w:r>
    </w:p>
    <w:p>
      <w:pPr>
        <w:numPr>
          <w:ilvl w:val="2"/>
          <w:numId w:val="8"/>
        </w:numPr>
      </w:pPr>
      <w:r>
        <w:rPr/>
        <w:t>Hépatomégalie dure</w:t>
      </w:r>
    </w:p>
    <w:p>
      <w:pPr>
        <w:numPr>
          <w:ilvl w:val="2"/>
          <w:numId w:val="8"/>
        </w:numPr>
      </w:pPr>
      <w:r>
        <w:rPr/>
        <w:t>Splénomégalie</w:t>
      </w:r>
    </w:p>
    <w:p>
      <w:pPr>
        <w:numPr>
          <w:ilvl w:val="2"/>
          <w:numId w:val="8"/>
        </w:numPr>
      </w:pPr>
      <w:r>
        <w:rPr/>
        <w:t xml:space="preserve">Ascite </w:t>
      </w:r>
    </w:p>
    <w:p>
      <w:pPr>
        <w:numPr>
          <w:ilvl w:val="2"/>
          <w:numId w:val="8"/>
        </w:numPr>
      </w:pPr>
      <w:r>
        <w:rPr/>
        <w:t>Circulation collatérale</w:t>
      </w:r>
    </w:p>
    <w:p>
      <w:pPr>
        <w:numPr>
          <w:ilvl w:val="2"/>
          <w:numId w:val="8"/>
        </w:numPr>
      </w:pPr>
      <w:r>
        <w:rPr/>
        <w:t>Syndrome hémorragique (hémorragie intracrânienne)</w:t>
      </w:r>
    </w:p>
    <w:p>
      <w:pPr>
        <w:pStyle w:val="Heading2"/>
      </w:pPr>
      <w:r>
        <w:rPr/>
        <w:t>Paraclinique (imagerie)</w:t>
      </w:r>
    </w:p>
    <w:p>
      <w:pPr>
        <w:pStyle w:val="Heading3"/>
      </w:pPr>
      <w:r>
        <w:rPr/>
        <w:t>Echographie</w:t>
      </w:r>
    </w:p>
    <w:p>
      <w:pPr/>
      <w:r>
        <w:rPr/>
        <w:t xml:space="preserve">Absence d’image vésiculaire très évocateur </w:t>
      </w:r>
    </w:p>
    <w:p>
      <w:pPr/>
      <w:r>
        <w:rPr/>
        <w:t>Parfois image triangulaire hypoéchogène dans le hile (kyste)</w:t>
      </w:r>
    </w:p>
    <w:p>
      <w:pPr/>
      <w:r>
        <w:rPr/>
        <w:t>Parfois échographie normale</w:t>
      </w:r>
    </w:p>
    <w:p>
      <w:pPr/>
      <w:r>
        <w:rPr/>
        <w:t>IRM et TDM d’indications rare (retard de la prise ne charge)</w:t>
      </w:r>
    </w:p>
    <w:p>
      <w:pPr>
        <w:pStyle w:val="Heading3"/>
      </w:pPr>
      <w:r>
        <w:rPr/>
        <w:t>Cholangiographie</w:t>
      </w:r>
    </w:p>
    <w:p>
      <w:pPr/>
      <w:r>
        <w:rPr/>
        <w:t>Echoguidée</w:t>
      </w:r>
    </w:p>
    <w:p>
      <w:pPr/>
      <w:r>
        <w:rPr/>
        <w:t>Rétrograde par voie endoscopique (CPRE)</w:t>
      </w:r>
    </w:p>
    <w:p>
      <w:pPr/>
      <w:r>
        <w:rPr/>
        <w:t xml:space="preserve">Chirurgie </w:t>
      </w:r>
    </w:p>
    <w:p>
      <w:pPr>
        <w:pStyle w:val="Heading2"/>
      </w:pPr>
      <w:r>
        <w:rPr/>
        <w:t>Biologie</w:t>
      </w:r>
    </w:p>
    <w:p>
      <w:pPr/>
      <w:r>
        <w:rPr/>
        <w:t>Cholestase biologique</w:t>
      </w:r>
    </w:p>
    <w:p>
      <w:pPr/>
      <w:r>
        <w:rPr/>
        <w:t>Bilirubine (conjuguée et libre élevées)</w:t>
      </w:r>
    </w:p>
    <w:p>
      <w:pPr/>
      <w:r>
        <w:rPr/>
        <w:t>Transaminase élevée</w:t>
      </w:r>
    </w:p>
    <w:p>
      <w:pPr/>
      <w:r>
        <w:rPr/>
        <w:t xml:space="preserve">Game glutamyl transférase </w:t>
      </w:r>
    </w:p>
    <w:p>
      <w:pPr/>
      <w:r>
        <w:rPr/>
        <w:t>Phosphatase alcaline</w:t>
      </w:r>
    </w:p>
    <w:p>
      <w:pPr/>
      <w:r>
        <w:rPr/>
        <w:t>Bilan thyroïdien, cortisol, …</w:t>
      </w:r>
    </w:p>
    <w:p>
      <w:pPr>
        <w:pStyle w:val="Heading3"/>
      </w:pPr>
      <w:r>
        <w:rPr/>
        <w:t>Hémogramme</w:t>
      </w:r>
    </w:p>
    <w:p>
      <w:pPr/>
      <w:r>
        <w:rPr/>
        <w:t xml:space="preserve">Fréquences élevées d’hyperleucocytose </w:t>
      </w:r>
    </w:p>
    <w:p>
      <w:pPr/>
      <w:r>
        <w:rPr/>
        <w:t>Fréquence élevée d’anémie</w:t>
      </w:r>
    </w:p>
    <w:p>
      <w:pPr/>
      <w:r>
        <w:rPr/>
        <w:t>CRP souvent élevée</w:t>
      </w:r>
    </w:p>
    <w:p>
      <w:pPr/>
      <w:r>
        <w:rPr/>
        <w:t xml:space="preserve">Hémostase </w:t>
      </w:r>
    </w:p>
    <w:p>
      <w:pPr/>
      <w:r>
        <w:rPr/>
        <w:t>Fréquence élevée de TP bas (temps de prothrombine)</w:t>
      </w:r>
    </w:p>
    <w:p>
      <w:pPr>
        <w:pStyle w:val="Heading2"/>
      </w:pPr>
      <w:r>
        <w:rPr/>
        <w:t>Diagnostic</w:t>
      </w:r>
    </w:p>
    <w:p>
      <w:pPr/>
      <w:r>
        <w:rPr/>
        <w:t>Diagnostic clinique +++</w:t>
      </w:r>
    </w:p>
    <w:p>
      <w:pPr/>
      <w:r>
        <w:rPr/>
        <w:t>Cholestase = AVB jusqu’au preuve du contraire</w:t>
      </w:r>
    </w:p>
    <w:p>
      <w:pPr/>
      <w:r>
        <w:rPr/>
        <w:t xml:space="preserve">Essentiel avant 30 jours </w:t>
      </w:r>
    </w:p>
    <w:p>
      <w:pPr/>
      <w:r>
        <w:rPr/>
        <w:t xml:space="preserve">Transfert en milieu spécialisé sans hésitation </w:t>
      </w:r>
    </w:p>
    <w:p>
      <w:pPr>
        <w:pStyle w:val="Heading2"/>
      </w:pPr>
      <w:r>
        <w:rPr/>
        <w:t xml:space="preserve">Traitement </w:t>
      </w:r>
    </w:p>
    <w:p>
      <w:pPr>
        <w:pStyle w:val="Heading3"/>
      </w:pPr>
      <w:r>
        <w:rPr/>
        <w:t>But</w:t>
      </w:r>
    </w:p>
    <w:p>
      <w:pPr/>
      <w:r>
        <w:rPr/>
        <w:t xml:space="preserve">Rétablir un drainage biliaire efficace dans le tube digestif </w:t>
      </w:r>
    </w:p>
    <w:p>
      <w:pPr>
        <w:pStyle w:val="Heading3"/>
      </w:pPr>
      <w:r>
        <w:rPr/>
        <w:t>Moyens</w:t>
      </w:r>
    </w:p>
    <w:p>
      <w:pPr>
        <w:pStyle w:val="Heading4"/>
      </w:pPr>
      <w:r>
        <w:rPr/>
        <w:t>Médicaux</w:t>
      </w:r>
    </w:p>
    <w:p>
      <w:pPr/>
      <w:r>
        <w:rPr/>
        <w:t>Vitaminothérapie (ADEK)</w:t>
      </w:r>
    </w:p>
    <w:p>
      <w:pPr>
        <w:pStyle w:val="Heading4"/>
      </w:pPr>
      <w:r>
        <w:rPr/>
        <w:t>Chirurgicaux</w:t>
      </w:r>
    </w:p>
    <w:p>
      <w:pPr/>
      <w:r>
        <w:rPr>
          <w:b/>
        </w:rPr>
        <w:t xml:space="preserve">Intervention de </w:t>
      </w:r>
      <w:r>
        <w:rPr>
          <w:b/>
        </w:rPr>
        <w:t>Kasai</w:t>
      </w:r>
    </w:p>
    <w:p>
      <w:pPr/>
      <w:r>
        <w:rPr/>
        <w:t>Hépato-port-entérostomie</w:t>
      </w:r>
    </w:p>
    <w:p>
      <w:pPr/>
      <w:r>
        <w:rPr/>
        <w:t>Résection du reliquat fibreux de la voie biliaire jusqu’au hile et abouchement d’une anse en Y au niveau du hile</w:t>
      </w:r>
    </w:p>
    <w:p>
      <w:pPr/>
      <w:r>
        <w:rPr/>
        <w:t>Hépato-port-cholécystotomie</w:t>
      </w:r>
    </w:p>
    <w:p>
      <w:pPr/>
      <w:r>
        <w:rPr/>
        <w:t>Abouchement du fond vésiculaire au niveau hile si vois biliaire accessoire intacte</w:t>
      </w:r>
    </w:p>
    <w:p>
      <w:pPr/>
      <w:r>
        <w:rPr/>
        <w:t xml:space="preserve">Transplantation hépatique si échec de l’intervention de </w:t>
      </w:r>
      <w:r>
        <w:rPr/>
        <w:t>Kasai</w:t>
      </w:r>
    </w:p>
    <w:p>
      <w:pPr>
        <w:pStyle w:val="Heading3"/>
      </w:pPr>
      <w:r>
        <w:rPr/>
        <w:t>Indications</w:t>
      </w:r>
    </w:p>
    <w:p>
      <w:pPr/>
      <w:r>
        <w:rPr/>
        <w:t>Indication opératoire formelle</w:t>
      </w:r>
    </w:p>
    <w:p>
      <w:pPr/>
      <w:r>
        <w:rPr/>
        <w:t xml:space="preserve">Intervention de </w:t>
      </w:r>
      <w:r>
        <w:rPr/>
        <w:t>Kasai</w:t>
      </w:r>
      <w:r>
        <w:rPr/>
        <w:t xml:space="preserve"> si diagnostique te prise en charge précoce, avant la cirrhose et </w:t>
      </w:r>
      <w:r>
        <w:rPr/>
        <w:t>se</w:t>
      </w:r>
      <w:r>
        <w:rPr/>
        <w:t xml:space="preserve"> complication </w:t>
      </w:r>
    </w:p>
    <w:p>
      <w:pPr/>
      <w:r>
        <w:rPr/>
        <w:t xml:space="preserve">Transplantation hépatique si échec de l’intervention de </w:t>
      </w:r>
      <w:r>
        <w:rPr/>
        <w:t>Kasai</w:t>
      </w:r>
      <w:r>
        <w:rPr/>
        <w:t xml:space="preserve"> ou si diagnostic et prise en charge tardifs</w:t>
      </w:r>
    </w:p>
    <w:p>
      <w:pPr>
        <w:pStyle w:val="Heading3"/>
      </w:pPr>
      <w:r>
        <w:rPr/>
        <w:t xml:space="preserve">Evolution </w:t>
      </w:r>
    </w:p>
    <w:p>
      <w:pPr/>
      <w:r>
        <w:rPr/>
        <w:t>Réussite de Kasaï</w:t>
      </w:r>
    </w:p>
    <w:p>
      <w:pPr/>
      <w:r>
        <w:rPr/>
        <w:t xml:space="preserve">Clinque </w:t>
      </w:r>
    </w:p>
    <w:p>
      <w:pPr>
        <w:numPr>
          <w:ilvl w:val="1"/>
          <w:numId w:val="8"/>
        </w:numPr>
      </w:pPr>
      <w:r>
        <w:rPr/>
        <w:t xml:space="preserve">Selles blanches puis verte et enfin jaune d’or </w:t>
      </w:r>
    </w:p>
    <w:p>
      <w:pPr/>
      <w:r>
        <w:rPr/>
        <w:t xml:space="preserve">Biologique </w:t>
      </w:r>
    </w:p>
    <w:p>
      <w:pPr>
        <w:numPr>
          <w:ilvl w:val="1"/>
          <w:numId w:val="8"/>
        </w:numPr>
      </w:pPr>
      <w:r>
        <w:rPr/>
        <w:t xml:space="preserve">Normalisation progressive du tau x de bilirubinémie conjuguée </w:t>
      </w:r>
    </w:p>
    <w:p>
      <w:pPr/>
      <w:r>
        <w:rPr/>
        <w:t xml:space="preserve">En fonction </w:t>
      </w:r>
    </w:p>
    <w:p>
      <w:pPr>
        <w:numPr>
          <w:ilvl w:val="1"/>
          <w:numId w:val="8"/>
        </w:numPr>
      </w:pPr>
      <w:r>
        <w:rPr/>
        <w:t xml:space="preserve">Type anatomique de l’AVB (moins bon pour Type I) </w:t>
      </w:r>
    </w:p>
    <w:p>
      <w:pPr>
        <w:numPr>
          <w:ilvl w:val="1"/>
          <w:numId w:val="8"/>
        </w:numPr>
      </w:pPr>
      <w:r>
        <w:rPr/>
        <w:t xml:space="preserve">Existence ou non du syndrome </w:t>
      </w:r>
      <w:r>
        <w:rPr/>
        <w:t>polysplénie</w:t>
      </w:r>
    </w:p>
    <w:p>
      <w:pPr>
        <w:numPr>
          <w:ilvl w:val="1"/>
          <w:numId w:val="8"/>
        </w:numPr>
      </w:pPr>
      <w:r>
        <w:rPr/>
        <w:t>Age de d’intervention</w:t>
      </w:r>
    </w:p>
    <w:p>
      <w:pPr>
        <w:numPr>
          <w:ilvl w:val="1"/>
          <w:numId w:val="8"/>
        </w:numPr>
      </w:pPr>
      <w:r>
        <w:rPr/>
        <w:t xml:space="preserve">Expérience du centre </w:t>
      </w:r>
    </w:p>
    <w:p>
      <w:pPr>
        <w:pStyle w:val="Heading2"/>
      </w:pPr>
      <w:r>
        <w:rPr/>
        <w:t xml:space="preserve">Complication </w:t>
      </w:r>
    </w:p>
    <w:p>
      <w:pPr>
        <w:pStyle w:val="Heading3"/>
      </w:pPr>
      <w:r>
        <w:rPr/>
        <w:t>Précoce</w:t>
      </w:r>
    </w:p>
    <w:p>
      <w:pPr/>
      <w:r>
        <w:rPr/>
        <w:t>Cholangite (hépato -porto- entérostomie)</w:t>
      </w:r>
    </w:p>
    <w:p>
      <w:pPr/>
      <w:r>
        <w:rPr/>
        <w:t>Fièvre élevée</w:t>
      </w:r>
    </w:p>
    <w:p>
      <w:pPr/>
      <w:r>
        <w:rPr/>
        <w:t xml:space="preserve">Nette altération de l’état générale </w:t>
      </w:r>
    </w:p>
    <w:p>
      <w:pPr/>
      <w:r>
        <w:rPr/>
        <w:t xml:space="preserve">Septicémie rapide </w:t>
      </w:r>
    </w:p>
    <w:p>
      <w:pPr/>
      <w:r>
        <w:rPr/>
        <w:t>Fistules biliaire s (hépato-port-cholécystotomie)</w:t>
      </w:r>
    </w:p>
    <w:p>
      <w:pPr/>
      <w:r>
        <w:rPr/>
        <w:t>Ascite post-opératoire (chez les enfant opéré s après 3mois)</w:t>
      </w:r>
    </w:p>
    <w:p>
      <w:pPr/>
      <w:r>
        <w:rPr/>
        <w:t xml:space="preserve">Récidive de la rétention biliaire </w:t>
      </w:r>
    </w:p>
    <w:p>
      <w:pPr>
        <w:pStyle w:val="Heading3"/>
      </w:pPr>
      <w:r>
        <w:rPr/>
        <w:t>Tardive</w:t>
      </w:r>
    </w:p>
    <w:p>
      <w:pPr/>
      <w:r>
        <w:rPr/>
        <w:t>Hypertension portale (par fibrose hépatique persistante)</w:t>
      </w:r>
    </w:p>
    <w:p>
      <w:pPr/>
      <w:r>
        <w:rPr/>
        <w:t>Bilomes</w:t>
      </w:r>
      <w:r>
        <w:rPr/>
        <w:t xml:space="preserve"> intrahépatique par évacuation imparfaite de la bile te son accumulation intrahépatique dans des cavité néoformées)</w:t>
      </w:r>
    </w:p>
    <w:p>
      <w:pPr/>
      <w:r>
        <w:rPr/>
        <w:t xml:space="preserve">Echec complet de la chirurgie conservatrice </w:t>
      </w:r>
    </w:p>
    <w:p>
      <w:pPr/>
      <w:r>
        <w:rPr/>
        <w:t xml:space="preserve">Syndrome hépato-pulmonaire et hypertension artérielle pulmonaire </w:t>
      </w:r>
      <w:r>
        <w:rPr/>
        <w:t>(HTAP)</w:t>
      </w:r>
    </w:p>
    <w:p>
      <w:pPr/>
      <w:r>
        <w:rPr/>
        <w:t xml:space="preserve">Shunt droit gauche intra-pulmonaire </w:t>
      </w:r>
    </w:p>
    <w:p>
      <w:pPr/>
      <w:r>
        <w:rPr/>
        <w:t xml:space="preserve">Hippocratisme digital, enfant bleu </w:t>
      </w:r>
    </w:p>
    <w:p>
      <w:pPr/>
      <w:r>
        <w:rPr/>
        <w:t xml:space="preserve">Néoplasies </w:t>
      </w:r>
    </w:p>
    <w:p>
      <w:pPr>
        <w:pStyle w:val="Heading2"/>
      </w:pPr>
      <w:r>
        <w:rPr/>
        <w:t xml:space="preserve">Pronostic </w:t>
      </w:r>
    </w:p>
    <w:p>
      <w:pPr/>
      <w:r>
        <w:rPr/>
        <w:t xml:space="preserve">Précocité du traitement </w:t>
      </w:r>
    </w:p>
    <w:p>
      <w:pPr/>
      <w:r>
        <w:rPr/>
        <w:t>Type anatomique d’AVB</w:t>
      </w:r>
    </w:p>
    <w:p>
      <w:pPr/>
      <w:r>
        <w:rPr/>
        <w:t>En générale :</w:t>
      </w:r>
    </w:p>
    <w:p>
      <w:pPr>
        <w:numPr>
          <w:ilvl w:val="1"/>
          <w:numId w:val="8"/>
        </w:numPr>
      </w:pPr>
      <w:r>
        <w:rPr/>
        <w:t xml:space="preserve"> 1/3 : 10 ans avec foie natif</w:t>
      </w:r>
    </w:p>
    <w:p>
      <w:pPr>
        <w:numPr>
          <w:ilvl w:val="1"/>
          <w:numId w:val="8"/>
        </w:numPr>
      </w:pPr>
      <w:r>
        <w:rPr/>
        <w:t xml:space="preserve">1/5 : 20 ans </w:t>
      </w:r>
    </w:p>
    <w:p>
      <w:pPr>
        <w:numPr>
          <w:ilvl w:val="1"/>
          <w:numId w:val="8"/>
        </w:numPr>
      </w:pPr>
      <w:r>
        <w:rPr/>
        <w:t xml:space="preserve">Survie à 5 – 10 and parus transplantation sup 80% </w:t>
      </w:r>
    </w:p>
    <w:p>
      <w:pPr>
        <w:pStyle w:val="Heading2"/>
      </w:pPr>
      <w:r>
        <w:rPr/>
        <w:t xml:space="preserve">Conclusion </w:t>
      </w:r>
    </w:p>
    <w:p>
      <w:pPr/>
      <w:r>
        <w:rPr/>
        <w:t>Pathologie rare et grave</w:t>
      </w:r>
    </w:p>
    <w:p>
      <w:pPr/>
      <w:r>
        <w:rPr/>
        <w:t xml:space="preserve">Urgence diagnostique </w:t>
      </w:r>
    </w:p>
    <w:p>
      <w:pPr/>
      <w:r>
        <w:rPr/>
        <w:t xml:space="preserve">Prise en charge avant la cirrhose et de l’insuffisance hépato-cellulaire </w:t>
      </w:r>
    </w:p>
    <w:p>
      <w:pPr/>
      <w:r>
        <w:rPr/>
        <w:t xml:space="preserve">Transplantation hépatique parfois même en cas de prise en charge précoce </w:t>
      </w:r>
    </w:p>
    <w:p>
      <w:pPr/>
      <w:r>
        <w:rPr/>
        <w:t xml:space="preserve">Surveillance régulière à long terme e près traitement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