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atresie du grele</w:t>
      </w:r>
    </w:p>
    <w:p>
      <w:pPr/>
      <w:r>
        <w:rPr/>
        <w:t>Pr Hunald</w:t>
      </w:r>
    </w:p>
    <w:p>
      <w:pPr>
        <w:pStyle w:val="Heading2"/>
      </w:pPr>
      <w:r>
        <w:rPr/>
        <w:t xml:space="preserve">Définition </w:t>
      </w:r>
    </w:p>
    <w:p>
      <w:pPr/>
      <w:r>
        <w:rPr/>
        <w:t>Interruption de la continuité digestive au niveau du jéjunum ou de l’iléon</w:t>
      </w:r>
    </w:p>
    <w:p>
      <w:pPr/>
      <w:r>
        <w:rPr/>
        <w:t xml:space="preserve">Urgence diagnostique et thérapeutique </w:t>
      </w:r>
    </w:p>
    <w:p>
      <w:pPr/>
      <w:r>
        <w:rPr/>
        <w:t>Possibilité de mucoviscidose</w:t>
      </w:r>
    </w:p>
    <w:p>
      <w:pPr/>
      <w:r>
        <w:rPr/>
        <w:t>Risque de syndrome de grêle court</w:t>
      </w:r>
    </w:p>
    <w:p>
      <w:pPr>
        <w:pStyle w:val="Heading2"/>
      </w:pPr>
      <w:r>
        <w:rPr/>
        <w:t xml:space="preserve">Objective </w:t>
      </w:r>
    </w:p>
    <w:p>
      <w:pPr/>
      <w:r>
        <w:rPr/>
        <w:t>Argumente les élément clinique et radiologique en faveur d’une atrésie de l’intestin grêle</w:t>
      </w:r>
    </w:p>
    <w:p>
      <w:pPr/>
      <w:r>
        <w:rPr/>
        <w:t xml:space="preserve">Décrire les principes de prise en charge </w:t>
      </w:r>
    </w:p>
    <w:p>
      <w:pPr>
        <w:pStyle w:val="Heading2"/>
      </w:pPr>
      <w:r>
        <w:rPr/>
        <w:t xml:space="preserve">Introduction </w:t>
      </w:r>
    </w:p>
    <w:p>
      <w:pPr/>
      <w:r>
        <w:rPr/>
        <w:t>Epidémiologie 2/10000 naissance avec prédominance masculine</w:t>
      </w:r>
    </w:p>
    <w:p>
      <w:pPr>
        <w:pStyle w:val="Heading3"/>
      </w:pPr>
      <w:r>
        <w:rPr/>
        <w:t>Etiologie</w:t>
      </w:r>
    </w:p>
    <w:p>
      <w:pPr/>
      <w:r>
        <w:rPr/>
        <w:t xml:space="preserve">Défaut de reperméabilisation </w:t>
      </w:r>
    </w:p>
    <w:p>
      <w:pPr/>
      <w:r>
        <w:rPr/>
        <w:t xml:space="preserve">Ischémie localisée </w:t>
      </w:r>
    </w:p>
    <w:p>
      <w:pPr/>
      <w:r>
        <w:rPr/>
        <w:t>Forms familiale « autosomique récessif »</w:t>
      </w:r>
    </w:p>
    <w:p>
      <w:pPr>
        <w:pStyle w:val="Heading3"/>
      </w:pPr>
      <w:r>
        <w:rPr/>
        <w:t>Anatomopathologie</w:t>
      </w:r>
    </w:p>
    <w:p>
      <w:pPr/>
      <w:r>
        <w:rPr/>
        <w:t>Cordonale</w:t>
      </w:r>
    </w:p>
    <w:p>
      <w:pPr/>
      <w:r>
        <w:rPr/>
        <w:t xml:space="preserve">Septale </w:t>
      </w:r>
    </w:p>
    <w:p>
      <w:pPr/>
      <w:r>
        <w:rPr/>
        <w:t xml:space="preserve">Complète ou incomplète colimaçon « </w:t>
      </w:r>
      <w:r>
        <w:rPr/>
        <w:t>apple</w:t>
      </w:r>
      <w:r>
        <w:rPr/>
        <w:t xml:space="preserve"> </w:t>
      </w:r>
      <w:r>
        <w:rPr/>
        <w:t>peel</w:t>
      </w:r>
      <w:r>
        <w:rPr/>
        <w:t xml:space="preserve"> » (occlusion de l’artère mésentérique supérieurs) atrésie multiple</w:t>
      </w:r>
    </w:p>
    <w:p>
      <w:pPr/>
      <w:r>
        <w:rPr/>
        <w:t>Anse intestinale d’amont dilatée</w:t>
      </w:r>
    </w:p>
    <w:p>
      <w:pPr/>
      <w:r>
        <w:rPr/>
        <w:t>Anse intestinale d’avale petite « intestin de poulet »</w:t>
      </w:r>
    </w:p>
    <w:p>
      <w:pPr/>
      <w:r>
        <w:rPr/>
        <w:t>Le plus souvent isolée</w:t>
      </w:r>
    </w:p>
    <w:p>
      <w:pPr/>
      <w:r>
        <w:rPr/>
        <w:t xml:space="preserve">Possible association à la mucoviscidose </w:t>
      </w:r>
    </w:p>
    <w:p>
      <w:pPr>
        <w:pStyle w:val="Heading3"/>
      </w:pPr>
      <w:r>
        <w:rPr/>
        <w:t>Physiopathologie</w:t>
      </w:r>
    </w:p>
    <w:p>
      <w:pPr/>
      <w:r>
        <w:rPr/>
        <w:t>Obstacle sur le transit intestinal</w:t>
      </w:r>
    </w:p>
    <w:p>
      <w:pPr/>
      <w:r>
        <w:rPr/>
        <w:t>Possibilité d’hydramnios</w:t>
      </w:r>
    </w:p>
    <w:p>
      <w:pPr/>
      <w:r>
        <w:rPr/>
        <w:t xml:space="preserve">Possibilité de trouble de la croissance fœtale </w:t>
      </w:r>
    </w:p>
    <w:p>
      <w:pPr/>
      <w:r>
        <w:rPr/>
        <w:t xml:space="preserve">Occlusion néonatale et ses conséquences </w:t>
      </w:r>
    </w:p>
    <w:p>
      <w:pPr>
        <w:pStyle w:val="Heading2"/>
      </w:pPr>
      <w:r>
        <w:rPr/>
        <w:t>Diagnostic</w:t>
      </w:r>
    </w:p>
    <w:p>
      <w:pPr>
        <w:pStyle w:val="Heading3"/>
      </w:pPr>
      <w:r>
        <w:rPr/>
        <w:t>Diagnostic anténatal</w:t>
      </w:r>
    </w:p>
    <w:p>
      <w:pPr>
        <w:pStyle w:val="Heading4"/>
      </w:pPr>
      <w:r>
        <w:rPr/>
        <w:t>Echographie anténatale</w:t>
      </w:r>
    </w:p>
    <w:p>
      <w:pPr/>
      <w:r>
        <w:rPr/>
        <w:t xml:space="preserve">Dilation digestive </w:t>
      </w:r>
    </w:p>
    <w:p>
      <w:pPr/>
      <w:r>
        <w:rPr/>
        <w:t>Hydramnios</w:t>
      </w:r>
    </w:p>
    <w:p>
      <w:pPr/>
      <w:r>
        <w:rPr/>
        <w:t>Hyperéchogénicité</w:t>
      </w:r>
      <w:r>
        <w:rPr/>
        <w:t xml:space="preserve"> périphérique </w:t>
      </w:r>
    </w:p>
    <w:p>
      <w:pPr/>
      <w:r>
        <w:rPr/>
        <w:t>Parfois péritonite méconiale en cas de perforation (calcification)</w:t>
      </w:r>
    </w:p>
    <w:p>
      <w:pPr>
        <w:pStyle w:val="Heading4"/>
      </w:pPr>
      <w:r>
        <w:rPr/>
        <w:t>Clinique</w:t>
      </w:r>
    </w:p>
    <w:p>
      <w:pPr/>
      <w:r>
        <w:rPr/>
        <w:t>Occlusion néonatale</w:t>
      </w:r>
    </w:p>
    <w:p>
      <w:pPr/>
      <w:r>
        <w:rPr/>
        <w:t>Vomissements bilieux précoce</w:t>
      </w:r>
    </w:p>
    <w:p>
      <w:pPr/>
      <w:r>
        <w:rPr/>
        <w:t>Abdomen variable (généralement ballonnement)</w:t>
      </w:r>
    </w:p>
    <w:p>
      <w:pPr>
        <w:pStyle w:val="Heading4"/>
      </w:pPr>
      <w:r>
        <w:rPr/>
        <w:t>Paraclinique</w:t>
      </w:r>
    </w:p>
    <w:p>
      <w:pPr/>
      <w:r>
        <w:rPr/>
        <w:t>Radiographie d’abdomen san préparation (ASP)</w:t>
      </w:r>
    </w:p>
    <w:p>
      <w:pPr>
        <w:numPr>
          <w:ilvl w:val="1"/>
          <w:numId w:val="8"/>
        </w:numPr>
      </w:pPr>
      <w:r>
        <w:rPr/>
        <w:t>Anse intestinale dilatée</w:t>
      </w:r>
    </w:p>
    <w:p>
      <w:pPr>
        <w:numPr>
          <w:ilvl w:val="1"/>
          <w:numId w:val="8"/>
        </w:numPr>
      </w:pPr>
      <w:r>
        <w:rPr/>
        <w:t>Absence d’aération sous-jacente (au niveau du pelvis)</w:t>
      </w:r>
    </w:p>
    <w:p>
      <w:pPr/>
      <w:r>
        <w:rPr/>
        <w:t>Lavement opaque</w:t>
      </w:r>
    </w:p>
    <w:p>
      <w:pPr>
        <w:numPr>
          <w:ilvl w:val="1"/>
          <w:numId w:val="8"/>
        </w:numPr>
      </w:pPr>
      <w:r>
        <w:rPr/>
        <w:t xml:space="preserve">Localisation </w:t>
      </w:r>
    </w:p>
    <w:p>
      <w:pPr>
        <w:numPr>
          <w:ilvl w:val="1"/>
          <w:numId w:val="8"/>
        </w:numPr>
      </w:pPr>
      <w:r>
        <w:rPr/>
        <w:t>Elimine une atrésie colique et un iléus méconial</w:t>
      </w:r>
    </w:p>
    <w:p>
      <w:pPr>
        <w:pStyle w:val="Heading2"/>
      </w:pPr>
      <w:r>
        <w:rPr/>
        <w:t>Diagnostics différentiels</w:t>
      </w:r>
    </w:p>
    <w:p>
      <w:pPr/>
      <w:r>
        <w:rPr/>
        <w:t>Les autres diagnostique d’occlusion néonatale :</w:t>
      </w:r>
    </w:p>
    <w:p>
      <w:pPr/>
      <w:r>
        <w:rPr/>
        <w:t>Atrésie du duodénum</w:t>
      </w:r>
    </w:p>
    <w:p>
      <w:pPr/>
      <w:r>
        <w:rPr/>
        <w:t>Iléus méconiale</w:t>
      </w:r>
    </w:p>
    <w:p>
      <w:pPr/>
      <w:r>
        <w:rPr/>
        <w:t xml:space="preserve">Atrésie colique </w:t>
      </w:r>
    </w:p>
    <w:p>
      <w:pPr/>
      <w:r>
        <w:rPr/>
        <w:t xml:space="preserve">Volvulus sur malrotation </w:t>
      </w:r>
    </w:p>
    <w:p>
      <w:pPr/>
      <w:r>
        <w:rPr/>
        <w:t>Volvulus sur mésentère commune</w:t>
      </w:r>
    </w:p>
    <w:p>
      <w:pPr/>
      <w:r>
        <w:rPr/>
        <w:t xml:space="preserve">Maladie de Hirschsprung </w:t>
      </w:r>
    </w:p>
    <w:p>
      <w:pPr>
        <w:pStyle w:val="Heading2"/>
      </w:pPr>
      <w:r>
        <w:rPr/>
        <w:t xml:space="preserve">Complication </w:t>
      </w:r>
    </w:p>
    <w:p>
      <w:pPr/>
      <w:r>
        <w:rPr/>
        <w:t>Perforation anténatale (péritonite méconiale)</w:t>
      </w:r>
    </w:p>
    <w:p>
      <w:pPr/>
      <w:r>
        <w:rPr/>
        <w:t xml:space="preserve">Nécrose de la grêle </w:t>
      </w:r>
    </w:p>
    <w:p>
      <w:pPr/>
      <w:r>
        <w:rPr/>
        <w:t>ECUN</w:t>
      </w:r>
    </w:p>
    <w:p>
      <w:pPr/>
      <w:r>
        <w:rPr/>
        <w:t>Syndrome des anses courts</w:t>
      </w:r>
    </w:p>
    <w:p>
      <w:pPr>
        <w:pStyle w:val="Heading2"/>
      </w:pPr>
      <w:r>
        <w:rPr/>
        <w:t>Traitement</w:t>
      </w:r>
    </w:p>
    <w:p>
      <w:pPr>
        <w:pStyle w:val="Heading3"/>
      </w:pPr>
      <w:r>
        <w:rPr/>
        <w:t>But</w:t>
      </w:r>
    </w:p>
    <w:p>
      <w:pPr/>
      <w:r>
        <w:rPr/>
        <w:t>Laver l’obstacle</w:t>
      </w:r>
    </w:p>
    <w:p>
      <w:pPr>
        <w:pStyle w:val="Heading3"/>
      </w:pPr>
      <w:r>
        <w:rPr/>
        <w:t xml:space="preserve">Moyens </w:t>
      </w:r>
    </w:p>
    <w:p>
      <w:pPr>
        <w:pStyle w:val="Heading4"/>
      </w:pPr>
      <w:r>
        <w:rPr/>
        <w:t>Médicaux</w:t>
      </w:r>
    </w:p>
    <w:p>
      <w:pPr/>
      <w:r>
        <w:rPr/>
        <w:t>Proclive</w:t>
      </w:r>
    </w:p>
    <w:p>
      <w:pPr/>
      <w:r>
        <w:rPr/>
        <w:t>Sonde naso-gastrique en place</w:t>
      </w:r>
    </w:p>
    <w:p>
      <w:pPr/>
      <w:r>
        <w:rPr/>
        <w:t xml:space="preserve">Réhydratation </w:t>
      </w:r>
    </w:p>
    <w:p>
      <w:pPr/>
      <w:r>
        <w:rPr/>
        <w:t>Antibiothérapie</w:t>
      </w:r>
    </w:p>
    <w:p>
      <w:pPr/>
      <w:r>
        <w:rPr/>
        <w:t xml:space="preserve">Température adéquate </w:t>
      </w:r>
    </w:p>
    <w:p>
      <w:pPr>
        <w:pStyle w:val="Heading4"/>
      </w:pPr>
      <w:r>
        <w:rPr/>
        <w:t>Moyens chirurgicaux</w:t>
      </w:r>
    </w:p>
    <w:p>
      <w:pPr/>
      <w:r>
        <w:rPr/>
        <w:t xml:space="preserve">Laparotomie transrectale souvent </w:t>
      </w:r>
    </w:p>
    <w:p>
      <w:pPr/>
      <w:r>
        <w:rPr/>
        <w:t xml:space="preserve">Anastomose </w:t>
      </w:r>
      <w:r>
        <w:rPr/>
        <w:t>termino</w:t>
      </w:r>
      <w:r>
        <w:rPr/>
        <w:t>-</w:t>
      </w:r>
      <w:r>
        <w:rPr/>
        <w:t>latérale,</w:t>
      </w:r>
      <w:r>
        <w:rPr/>
        <w:t xml:space="preserve"> anastomose </w:t>
      </w:r>
      <w:r>
        <w:rPr/>
        <w:t>termino</w:t>
      </w:r>
      <w:r>
        <w:rPr/>
        <w:t xml:space="preserve">-terminale </w:t>
      </w:r>
    </w:p>
    <w:p>
      <w:pPr>
        <w:pStyle w:val="Heading2"/>
      </w:pPr>
      <w:r>
        <w:rPr/>
        <w:t>Evolution</w:t>
      </w:r>
    </w:p>
    <w:p>
      <w:pPr/>
      <w:r>
        <w:rPr/>
        <w:t>Bon pronostic en général (malformation associée rare)</w:t>
      </w:r>
    </w:p>
    <w:p>
      <w:pPr/>
      <w:r>
        <w:rPr/>
        <w:t>Reprise de l’alimentation à la reprise du transite</w:t>
      </w:r>
    </w:p>
    <w:p>
      <w:pPr/>
      <w:r>
        <w:rPr/>
        <w:t>Complication immédiate</w:t>
      </w:r>
    </w:p>
    <w:p>
      <w:pPr>
        <w:numPr>
          <w:ilvl w:val="1"/>
          <w:numId w:val="8"/>
        </w:numPr>
      </w:pPr>
      <w:r>
        <w:rPr/>
        <w:t>Septicémie (cas de retard de prise en charge)</w:t>
      </w:r>
    </w:p>
    <w:p>
      <w:pPr>
        <w:numPr>
          <w:ilvl w:val="1"/>
          <w:numId w:val="8"/>
        </w:numPr>
      </w:pPr>
      <w:r>
        <w:rPr/>
        <w:t>Péritonite postopératoire</w:t>
      </w:r>
    </w:p>
    <w:p>
      <w:pPr/>
      <w:r>
        <w:rPr/>
        <w:t xml:space="preserve">Complication tardive </w:t>
      </w:r>
    </w:p>
    <w:p>
      <w:pPr>
        <w:numPr>
          <w:ilvl w:val="1"/>
          <w:numId w:val="8"/>
        </w:numPr>
      </w:pPr>
      <w:r>
        <w:rPr/>
        <w:t>Possibilité de syndrome de grêle court</w:t>
      </w:r>
    </w:p>
    <w:p>
      <w:pPr>
        <w:pStyle w:val="Heading2"/>
      </w:pPr>
      <w:r>
        <w:rPr/>
        <w:t xml:space="preserve">Conclusion </w:t>
      </w:r>
    </w:p>
    <w:p>
      <w:pPr/>
      <w:r>
        <w:rPr/>
        <w:t>Urgence diagnostique et thérapeutique</w:t>
      </w:r>
    </w:p>
    <w:p>
      <w:pPr/>
      <w:r>
        <w:rPr/>
        <w:t>Tous vomissement néonatale = indication chirurgicale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