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ABCES DU FOIE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40"/>
        </w:numPr>
      </w:pPr>
      <w:r>
        <w:rPr/>
        <w:t>Abcès du foie = problème diagnostique et thérapeutique</w:t>
      </w:r>
    </w:p>
    <w:p>
      <w:pPr>
        <w:numPr>
          <w:ilvl w:val="0"/>
          <w:numId w:val="40"/>
        </w:numPr>
      </w:pPr>
      <w:r>
        <w:rPr/>
        <w:t>Mais progrès dans la prise en charge</w:t>
      </w:r>
    </w:p>
    <w:p>
      <w:pPr>
        <w:numPr>
          <w:ilvl w:val="0"/>
          <w:numId w:val="40"/>
        </w:numPr>
      </w:pPr>
      <w:r>
        <w:rPr/>
        <w:t>Deux types d’abcès :</w:t>
      </w:r>
    </w:p>
    <w:p>
      <w:pPr>
        <w:numPr>
          <w:ilvl w:val="1"/>
          <w:numId w:val="40"/>
        </w:numPr>
      </w:pPr>
      <w:r>
        <w:rPr/>
        <w:t xml:space="preserve">Abcès à germes </w:t>
      </w:r>
      <w:r>
        <w:rPr/>
        <w:t>pyogèniques</w:t>
      </w:r>
    </w:p>
    <w:p>
      <w:pPr>
        <w:numPr>
          <w:ilvl w:val="1"/>
          <w:numId w:val="40"/>
        </w:numPr>
      </w:pPr>
      <w:r>
        <w:rPr/>
        <w:t>Abcès amibiase (</w:t>
      </w:r>
      <w:r>
        <w:rPr>
          <w:i/>
        </w:rPr>
        <w:t xml:space="preserve">provient de l’amibiase intestinale : </w:t>
      </w:r>
      <w:r>
        <w:rPr>
          <w:i/>
        </w:rPr>
        <w:t>e.h.h</w:t>
      </w:r>
      <w:r>
        <w:rPr>
          <w:i/>
        </w:rPr>
        <w:t>)</w:t>
      </w:r>
    </w:p>
    <w:p>
      <w:pPr>
        <w:numPr>
          <w:ilvl w:val="0"/>
          <w:numId w:val="40"/>
        </w:numPr>
      </w:pPr>
      <w:r>
        <w:rPr/>
        <w:t>CMV et champignon : rares</w:t>
      </w:r>
    </w:p>
    <w:p>
      <w:pPr/>
    </w:p>
    <w:p>
      <w:pPr>
        <w:pStyle w:val="Heading3"/>
      </w:pPr>
      <w:r>
        <w:rPr/>
        <w:t>INCIDENCE</w:t>
      </w:r>
    </w:p>
    <w:p>
      <w:pPr>
        <w:numPr>
          <w:ilvl w:val="0"/>
          <w:numId w:val="41"/>
        </w:numPr>
      </w:pPr>
      <w:r>
        <w:rPr/>
        <w:t>Incidence élevée dans les pays où les soins ne sont pas immédiatement disponibles</w:t>
      </w:r>
    </w:p>
    <w:p>
      <w:pPr>
        <w:numPr>
          <w:ilvl w:val="0"/>
          <w:numId w:val="41"/>
        </w:numPr>
      </w:pPr>
      <w:r>
        <w:rPr/>
        <w:t xml:space="preserve">L’amibiase hépatique est estimée à </w:t>
      </w:r>
      <w:r>
        <w:rPr>
          <w:b/>
        </w:rPr>
        <w:t>3 à 10%</w:t>
      </w:r>
      <w:r>
        <w:rPr/>
        <w:t xml:space="preserve"> des patients infestés par l’amibe</w:t>
      </w:r>
    </w:p>
    <w:p>
      <w:pPr>
        <w:numPr>
          <w:ilvl w:val="0"/>
          <w:numId w:val="41"/>
        </w:numPr>
      </w:pPr>
      <w:r>
        <w:rPr/>
        <w:t xml:space="preserve">L’abcès du foie affecte les deux sexes et à tout âge, pic entre </w:t>
      </w:r>
      <w:r>
        <w:rPr>
          <w:b/>
        </w:rPr>
        <w:t>40 et 60 ans</w:t>
      </w:r>
    </w:p>
    <w:p>
      <w:pPr/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La physiopathologie de l’abcès du foie met en jeu deux éléments principaux :</w:t>
      </w:r>
    </w:p>
    <w:p>
      <w:pPr>
        <w:numPr>
          <w:ilvl w:val="1"/>
          <w:numId w:val="42"/>
        </w:numPr>
      </w:pPr>
      <w:r>
        <w:rPr/>
        <w:t>La présence des germes en cause</w:t>
      </w:r>
    </w:p>
    <w:p>
      <w:pPr>
        <w:numPr>
          <w:ilvl w:val="1"/>
          <w:numId w:val="42"/>
        </w:numPr>
      </w:pPr>
      <w:r>
        <w:rPr/>
        <w:t>La vulnérabilité du foie</w:t>
      </w:r>
      <w:r>
        <w:rPr/>
        <w:br/>
      </w:r>
    </w:p>
    <w:p>
      <w:pPr>
        <w:pStyle w:val="Heading4"/>
      </w:pPr>
      <w:r>
        <w:rPr/>
        <w:t>L’envahissement du parenchyme hépatique se fait à partir :</w:t>
      </w:r>
    </w:p>
    <w:p>
      <w:pPr>
        <w:numPr>
          <w:ilvl w:val="1"/>
          <w:numId w:val="42"/>
        </w:numPr>
      </w:pPr>
      <w:r>
        <w:rPr/>
        <w:t>Du système porte</w:t>
      </w:r>
    </w:p>
    <w:p>
      <w:pPr>
        <w:numPr>
          <w:ilvl w:val="1"/>
          <w:numId w:val="42"/>
        </w:numPr>
      </w:pPr>
      <w:r>
        <w:rPr/>
        <w:t>Des voies biliaires</w:t>
      </w:r>
    </w:p>
    <w:p>
      <w:pPr>
        <w:numPr>
          <w:ilvl w:val="1"/>
          <w:numId w:val="42"/>
        </w:numPr>
      </w:pPr>
      <w:r>
        <w:rPr/>
        <w:t>De l’artère hépatique lors d’une septicémie généralisée</w:t>
      </w:r>
    </w:p>
    <w:p>
      <w:pPr>
        <w:numPr>
          <w:ilvl w:val="1"/>
          <w:numId w:val="42"/>
        </w:numPr>
      </w:pPr>
      <w:r>
        <w:rPr/>
        <w:t>d’une</w:t>
      </w:r>
      <w:r>
        <w:rPr/>
        <w:t xml:space="preserve"> extension directe d’une infection sous-hépatique ou sous-diaphragmatique (=</w:t>
      </w:r>
      <w:r>
        <w:rPr>
          <w:i/>
        </w:rPr>
        <w:t>sus-hépatique)</w:t>
      </w:r>
    </w:p>
    <w:p>
      <w:pPr>
        <w:numPr>
          <w:ilvl w:val="1"/>
          <w:numId w:val="42"/>
        </w:numPr>
      </w:pPr>
      <w:r>
        <w:rPr/>
        <w:t>d’une</w:t>
      </w:r>
      <w:r>
        <w:rPr/>
        <w:t xml:space="preserve"> effraction directe par traumatisme</w:t>
      </w:r>
      <w:r>
        <w:rPr/>
        <w:br/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</w:r>
    </w:p>
    <w:p>
      <w:pPr/>
    </w:p>
    <w:p>
      <w:pPr>
        <w:pStyle w:val="Heading4"/>
      </w:pPr>
      <w:r>
        <w:rPr/>
        <w:t xml:space="preserve">Abcès pyogénique </w:t>
      </w:r>
      <w:r>
        <w:rPr/>
        <w:t>: le lobe droit est 3 fois plus touché que le lobe gauche</w:t>
      </w:r>
    </w:p>
    <w:p>
      <w:pPr>
        <w:numPr>
          <w:ilvl w:val="1"/>
          <w:numId w:val="43"/>
        </w:numPr>
      </w:pPr>
      <w:r>
        <w:rPr/>
        <w:t>Peut être</w:t>
      </w:r>
      <w:r>
        <w:rPr/>
        <w:t xml:space="preserve"> solitaire ou multiple</w:t>
      </w:r>
    </w:p>
    <w:p>
      <w:pPr>
        <w:numPr>
          <w:ilvl w:val="1"/>
          <w:numId w:val="43"/>
        </w:numPr>
      </w:pPr>
      <w:r>
        <w:rPr/>
        <w:t>Taille : 1mm à plusieurs cm</w:t>
      </w:r>
    </w:p>
    <w:p>
      <w:pPr>
        <w:numPr>
          <w:ilvl w:val="1"/>
          <w:numId w:val="43"/>
        </w:numPr>
      </w:pPr>
      <w:r>
        <w:rPr/>
        <w:t xml:space="preserve">Germes les plus rencontrés : </w:t>
      </w:r>
      <w:r>
        <w:rPr>
          <w:i/>
        </w:rPr>
        <w:t>Escherichia coli, Klebsiella, entérocoque</w:t>
      </w:r>
    </w:p>
    <w:p>
      <w:pPr>
        <w:numPr>
          <w:ilvl w:val="1"/>
          <w:numId w:val="43"/>
        </w:numPr>
      </w:pPr>
      <w:r>
        <w:rPr/>
        <w:t xml:space="preserve">Anaérobies : </w:t>
      </w:r>
      <w:r>
        <w:rPr/>
        <w:t>Bacteroides</w:t>
      </w:r>
      <w:r>
        <w:rPr/>
        <w:t>, streptocoque</w:t>
      </w:r>
    </w:p>
    <w:p>
      <w:pPr>
        <w:numPr>
          <w:ilvl w:val="1"/>
          <w:numId w:val="43"/>
        </w:numPr>
      </w:pPr>
      <w:r>
        <w:rPr/>
        <w:t>Possible : association Anaérobie-</w:t>
      </w:r>
      <w:r>
        <w:rPr/>
        <w:t>Fusobacterium</w:t>
      </w:r>
    </w:p>
    <w:p>
      <w:pPr>
        <w:pStyle w:val="Heading4"/>
      </w:pPr>
      <w:r>
        <w:rPr/>
        <w:t>Abcès amibien</w:t>
      </w:r>
      <w:r>
        <w:rPr/>
      </w:r>
      <w:r>
        <w:rPr/>
        <w:t xml:space="preserve"> </w:t>
      </w:r>
      <w:r>
        <w:rPr/>
        <w:t>: suit l’infestation intestinale</w:t>
      </w:r>
    </w:p>
    <w:p>
      <w:pPr>
        <w:numPr>
          <w:ilvl w:val="1"/>
          <w:numId w:val="43"/>
        </w:numPr>
      </w:pPr>
      <w:r>
        <w:rPr/>
        <w:t>Plus par contact individuel</w:t>
      </w:r>
    </w:p>
    <w:p>
      <w:pPr>
        <w:numPr>
          <w:ilvl w:val="1"/>
          <w:numId w:val="43"/>
        </w:numPr>
      </w:pPr>
      <w:r>
        <w:rPr/>
        <w:t>Période de latence de quelques semaines</w:t>
      </w:r>
    </w:p>
    <w:p>
      <w:pPr>
        <w:numPr>
          <w:ilvl w:val="1"/>
          <w:numId w:val="43"/>
        </w:numPr>
      </w:pPr>
      <w:r>
        <w:rPr/>
        <w:t>La zone de destruction se fusionne =&gt; cavité large dans le lobe droit</w:t>
      </w:r>
    </w:p>
    <w:p>
      <w:pPr>
        <w:numPr>
          <w:ilvl w:val="1"/>
          <w:numId w:val="43"/>
        </w:numPr>
      </w:pPr>
      <w:r>
        <w:rPr/>
        <w:t>Diamètre : 1cm à 25 cm</w:t>
      </w:r>
    </w:p>
    <w:p>
      <w:pPr>
        <w:numPr>
          <w:ilvl w:val="1"/>
          <w:numId w:val="43"/>
        </w:numPr>
      </w:pPr>
      <w:r>
        <w:rPr>
          <w:b/>
        </w:rPr>
        <w:t>Pus chocolaté</w:t>
      </w:r>
      <w:r>
        <w:rPr/>
      </w:r>
    </w:p>
    <w:p>
      <w:pPr/>
    </w:p>
    <w:p>
      <w:pPr>
        <w:pStyle w:val="Heading2"/>
      </w:pPr>
      <w:r>
        <w:rPr/>
        <w:t>DIAGNOSTIC</w:t>
      </w:r>
    </w:p>
    <w:p>
      <w:pPr>
        <w:numPr>
          <w:ilvl w:val="0"/>
          <w:numId w:val="44"/>
        </w:numPr>
      </w:pPr>
      <w:r>
        <w:rPr/>
        <w:t>Le diagnostic d’abcès hépatique est un défi</w:t>
      </w:r>
    </w:p>
    <w:p>
      <w:pPr>
        <w:numPr>
          <w:ilvl w:val="0"/>
          <w:numId w:val="44"/>
        </w:numPr>
      </w:pPr>
      <w:r>
        <w:rPr/>
        <w:t>Les signes cliniques sont aspécifiques</w:t>
      </w:r>
      <w:r>
        <w:rPr/>
        <w:br/>
      </w:r>
    </w:p>
    <w:p>
      <w:pPr>
        <w:pStyle w:val="Heading3"/>
      </w:pPr>
      <w:r>
        <w:rPr/>
        <w:t>La différenciation précoce entre abcès pyogénique et abcès amibien est difficile :</w:t>
      </w:r>
    </w:p>
    <w:p>
      <w:pPr>
        <w:numPr>
          <w:ilvl w:val="1"/>
          <w:numId w:val="44"/>
        </w:numPr>
      </w:pPr>
      <w:r>
        <w:rPr/>
        <w:t>Similarité des signes</w:t>
      </w:r>
    </w:p>
    <w:p>
      <w:pPr>
        <w:numPr>
          <w:ilvl w:val="1"/>
          <w:numId w:val="44"/>
        </w:numPr>
      </w:pPr>
      <w:r>
        <w:rPr/>
        <w:t>Similarité des symptômes</w:t>
      </w:r>
    </w:p>
    <w:p>
      <w:pPr>
        <w:numPr>
          <w:ilvl w:val="1"/>
          <w:numId w:val="44"/>
        </w:numPr>
      </w:pPr>
      <w:r>
        <w:rPr/>
        <w:t>Similarité des aspects radiologiques</w:t>
      </w:r>
      <w:r>
        <w:rPr/>
        <w:br/>
      </w:r>
    </w:p>
    <w:p>
      <w:pPr>
        <w:pStyle w:val="Heading3"/>
      </w:pPr>
      <w:r>
        <w:rPr/>
        <w:t>Les symptômes primaires sont :</w:t>
      </w:r>
    </w:p>
    <w:p>
      <w:pPr>
        <w:numPr>
          <w:ilvl w:val="1"/>
          <w:numId w:val="44"/>
        </w:numPr>
      </w:pPr>
      <w:r>
        <w:rPr/>
        <w:t>Fièvre</w:t>
      </w:r>
    </w:p>
    <w:p>
      <w:pPr>
        <w:numPr>
          <w:ilvl w:val="1"/>
          <w:numId w:val="44"/>
        </w:numPr>
      </w:pPr>
      <w:r>
        <w:rPr/>
        <w:t>Malaise</w:t>
      </w:r>
    </w:p>
    <w:p>
      <w:pPr>
        <w:numPr>
          <w:ilvl w:val="1"/>
          <w:numId w:val="44"/>
        </w:numPr>
      </w:pPr>
      <w:r>
        <w:rPr/>
        <w:t>Frisson</w:t>
      </w:r>
    </w:p>
    <w:p>
      <w:pPr>
        <w:numPr>
          <w:ilvl w:val="1"/>
          <w:numId w:val="44"/>
        </w:numPr>
      </w:pPr>
      <w:r>
        <w:rPr/>
        <w:t>Anorexie</w:t>
      </w:r>
    </w:p>
    <w:p>
      <w:pPr>
        <w:numPr>
          <w:ilvl w:val="1"/>
          <w:numId w:val="44"/>
        </w:numPr>
      </w:pPr>
      <w:r>
        <w:rPr/>
        <w:t>Perte de poids</w:t>
      </w:r>
    </w:p>
    <w:p>
      <w:pPr>
        <w:numPr>
          <w:ilvl w:val="1"/>
          <w:numId w:val="44"/>
        </w:numPr>
      </w:pPr>
      <w:r>
        <w:rPr/>
        <w:t>Douleur abdominale</w:t>
      </w:r>
    </w:p>
    <w:p>
      <w:pPr>
        <w:numPr>
          <w:ilvl w:val="1"/>
          <w:numId w:val="44"/>
        </w:numPr>
      </w:pPr>
      <w:r>
        <w:rPr/>
        <w:t>Nausée</w:t>
      </w:r>
    </w:p>
    <w:p>
      <w:pPr>
        <w:pStyle w:val="Heading3"/>
      </w:pPr>
      <w:r>
        <w:rPr/>
        <w:t xml:space="preserve">L’examen </w:t>
      </w:r>
      <w:r>
        <w:rPr/>
        <w:t xml:space="preserve">physique </w:t>
      </w:r>
      <w:r>
        <w:rPr/>
        <w:t>peut</w:t>
      </w:r>
      <w:r>
        <w:rPr/>
        <w:t xml:space="preserve"> révéler une </w:t>
      </w:r>
    </w:p>
    <w:p>
      <w:pPr>
        <w:numPr>
          <w:ilvl w:val="1"/>
          <w:numId w:val="44"/>
        </w:numPr>
      </w:pPr>
      <w:r>
        <w:rPr>
          <w:b/>
        </w:rPr>
        <w:t>Défense de l’hypochondre droit</w:t>
      </w:r>
    </w:p>
    <w:p>
      <w:pPr>
        <w:numPr>
          <w:ilvl w:val="1"/>
          <w:numId w:val="44"/>
        </w:numPr>
      </w:pPr>
      <w:r>
        <w:rPr>
          <w:b/>
        </w:rPr>
        <w:t>Matité hépatique à la percussion</w:t>
      </w:r>
    </w:p>
    <w:p>
      <w:pPr>
        <w:numPr>
          <w:ilvl w:val="1"/>
          <w:numId w:val="44"/>
        </w:numPr>
      </w:pPr>
      <w:r>
        <w:rPr>
          <w:u w:val="single"/>
        </w:rPr>
        <w:t>Éventuellement :</w:t>
      </w:r>
      <w:r>
        <w:rPr/>
        <w:t xml:space="preserve"> ictère</w:t>
      </w:r>
    </w:p>
    <w:p>
      <w:pPr>
        <w:pStyle w:val="Heading3"/>
      </w:pPr>
      <w:r>
        <w:rPr/>
        <w:t>Imagerie :</w:t>
      </w:r>
    </w:p>
    <w:p>
      <w:pPr>
        <w:numPr>
          <w:ilvl w:val="1"/>
          <w:numId w:val="44"/>
        </w:numPr>
      </w:pPr>
      <w:r>
        <w:rPr>
          <w:b/>
        </w:rPr>
        <w:t>Echographie :</w:t>
      </w:r>
      <w:r>
        <w:rPr/>
        <w:t xml:space="preserve"> c’est l’examen le plus utile en première intention pour détecter les abcès du foie</w:t>
      </w:r>
    </w:p>
    <w:p>
      <w:pPr>
        <w:numPr>
          <w:ilvl w:val="2"/>
          <w:numId w:val="44"/>
        </w:numPr>
      </w:pPr>
      <w:r>
        <w:rPr/>
        <w:t>Haute sensibilité (85-95%)</w:t>
      </w:r>
    </w:p>
    <w:p>
      <w:pPr>
        <w:numPr>
          <w:ilvl w:val="2"/>
          <w:numId w:val="44"/>
        </w:numPr>
      </w:pPr>
      <w:r>
        <w:rPr/>
        <w:t>Permet une biopsie échoguidée</w:t>
      </w:r>
    </w:p>
    <w:p>
      <w:pPr>
        <w:numPr>
          <w:ilvl w:val="1"/>
          <w:numId w:val="44"/>
        </w:numPr>
      </w:pPr>
      <w:r>
        <w:rPr>
          <w:b/>
        </w:rPr>
        <w:t xml:space="preserve">Scanner abdominale : </w:t>
      </w:r>
      <w:r>
        <w:rPr/>
        <w:t>c’est la plus sensible (95% à 100%). Il permet aussi bien le diagnostic qu’une intervention thérapeutique</w:t>
      </w:r>
    </w:p>
    <w:p>
      <w:pPr>
        <w:numPr>
          <w:ilvl w:val="1"/>
          <w:numId w:val="44"/>
        </w:numPr>
      </w:pPr>
      <w:r>
        <w:rPr>
          <w:b/>
        </w:rPr>
        <w:t xml:space="preserve">Autres techniques : </w:t>
      </w:r>
      <w:r>
        <w:rPr/>
        <w:t xml:space="preserve">scintigraphie au </w:t>
      </w:r>
      <w:r>
        <w:rPr/>
        <w:t xml:space="preserve">Technétium </w:t>
      </w:r>
      <w:r>
        <w:rPr/>
        <w:t>(sensible), IRM</w:t>
      </w:r>
    </w:p>
    <w:p>
      <w:pPr/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numPr>
          <w:ilvl w:val="0"/>
          <w:numId w:val="45"/>
        </w:numPr>
      </w:pPr>
      <w:r>
        <w:rPr/>
        <w:t>Les traitements diffèrent selon l’étiologie</w:t>
      </w:r>
      <w:r>
        <w:rPr/>
        <w:br/>
      </w:r>
    </w:p>
    <w:p>
      <w:pPr>
        <w:numPr>
          <w:ilvl w:val="0"/>
          <w:numId w:val="45"/>
        </w:numPr>
      </w:pPr>
      <w:r>
        <w:rPr/>
        <w:t>Le traitement standard des abcès pyogéniques sont basés sur le drainage externe associé à une antibiothérapie appropriée</w:t>
      </w:r>
      <w:r>
        <w:rPr/>
        <w:br/>
      </w:r>
    </w:p>
    <w:p>
      <w:pPr>
        <w:numPr>
          <w:ilvl w:val="0"/>
          <w:numId w:val="45"/>
        </w:numPr>
      </w:pPr>
      <w:r>
        <w:rPr/>
        <w:t>Inclure l’origine sous-jacente de l’abcès. Le traitement d’un abcès amibien non-compliqué est a</w:t>
      </w:r>
      <w:r>
        <w:rPr>
          <w:i/>
        </w:rPr>
        <w:t xml:space="preserve"> priori</w:t>
      </w:r>
      <w:r>
        <w:rPr/>
        <w:t xml:space="preserve"> </w:t>
      </w:r>
      <w:r>
        <w:rPr>
          <w:b/>
        </w:rPr>
        <w:t>non-chirurgical</w:t>
      </w:r>
      <w:r>
        <w:rPr>
          <w:b/>
        </w:rPr>
        <w:br/>
      </w:r>
    </w:p>
    <w:p>
      <w:pPr>
        <w:pStyle w:val="Heading3"/>
      </w:pPr>
      <w:r>
        <w:rPr/>
        <w:t>Abcès pyogénique</w:t>
      </w:r>
    </w:p>
    <w:p>
      <w:pPr>
        <w:numPr>
          <w:ilvl w:val="0"/>
          <w:numId w:val="46"/>
        </w:numPr>
      </w:pPr>
      <w:r>
        <w:rPr/>
        <w:t>Si non traités, ils sont mortels dans 95 à 100% des cas</w:t>
      </w:r>
    </w:p>
    <w:p>
      <w:pPr>
        <w:numPr>
          <w:ilvl w:val="1"/>
          <w:numId w:val="46"/>
        </w:numPr>
      </w:pPr>
      <w:r>
        <w:rPr/>
        <w:t>Par septicémie, rupture ou les deux</w:t>
      </w:r>
    </w:p>
    <w:p>
      <w:pPr>
        <w:numPr>
          <w:ilvl w:val="2"/>
          <w:numId w:val="46"/>
        </w:numPr>
      </w:pPr>
      <w:r>
        <w:rPr/>
        <w:t>Rupture possible selon sa grandeur et sa localisation</w:t>
      </w:r>
    </w:p>
    <w:p>
      <w:pPr>
        <w:numPr>
          <w:ilvl w:val="0"/>
          <w:numId w:val="46"/>
        </w:numPr>
      </w:pPr>
      <w:r>
        <w:rPr/>
        <w:t>Le traitement des abcès pyogéniques repose sur :</w:t>
      </w:r>
    </w:p>
    <w:p>
      <w:pPr>
        <w:numPr>
          <w:ilvl w:val="1"/>
          <w:numId w:val="46"/>
        </w:numPr>
      </w:pPr>
      <w:r>
        <w:rPr/>
        <w:t>Une antibiothérapie intra-veineuse et</w:t>
      </w:r>
    </w:p>
    <w:p>
      <w:pPr>
        <w:numPr>
          <w:ilvl w:val="1"/>
          <w:numId w:val="46"/>
        </w:numPr>
      </w:pPr>
      <w:r>
        <w:rPr/>
        <w:t>Un drainage efficace</w:t>
      </w:r>
      <w:r>
        <w:rPr/>
        <w:br/>
      </w:r>
    </w:p>
    <w:p>
      <w:pPr>
        <w:numPr>
          <w:ilvl w:val="0"/>
          <w:numId w:val="47"/>
        </w:numPr>
      </w:pPr>
      <w:r>
        <w:rPr/>
        <w:t xml:space="preserve">Le schéma thérapeutique = aminoglycoside (gentamycine, </w:t>
      </w:r>
      <w:r>
        <w:rPr/>
        <w:t>amikacine, ...</w:t>
      </w:r>
      <w:r>
        <w:rPr/>
        <w:t>) + antibiotique contre les germes anaérobies + pénicilline</w:t>
      </w:r>
    </w:p>
    <w:p>
      <w:pPr>
        <w:numPr>
          <w:ilvl w:val="1"/>
          <w:numId w:val="47"/>
        </w:numPr>
      </w:pPr>
      <w:r>
        <w:rPr/>
        <w:t>Corrigé par le résultat de l’antibiogramme</w:t>
      </w:r>
    </w:p>
    <w:p>
      <w:pPr>
        <w:numPr>
          <w:ilvl w:val="1"/>
          <w:numId w:val="47"/>
        </w:numPr>
      </w:pPr>
      <w:r>
        <w:rPr/>
        <w:t>Respecter un délai de 1 à 2 jours d’antibiothérapie avant le drainage</w:t>
      </w:r>
    </w:p>
    <w:p>
      <w:pPr>
        <w:numPr>
          <w:ilvl w:val="0"/>
          <w:numId w:val="47"/>
        </w:numPr>
      </w:pPr>
      <w:r>
        <w:rPr/>
        <w:t xml:space="preserve">Le drainage peut être fait par voie percutanée ou par </w:t>
      </w:r>
      <w:r>
        <w:rPr/>
        <w:t xml:space="preserve">intervention chirurgicale </w:t>
      </w:r>
      <w:r>
        <w:rPr/>
      </w:r>
      <w:r>
        <w:rPr/>
        <w:t>(dépend de l’accessibilité de l’abcès, nombre et volume, traitement de la cause sous-jacente)</w:t>
      </w:r>
    </w:p>
    <w:p>
      <w:pPr/>
    </w:p>
    <w:p>
      <w:pPr>
        <w:pStyle w:val="Heading3"/>
      </w:pPr>
      <w:r>
        <w:rPr/>
        <w:t>Abcès amibien</w:t>
      </w:r>
    </w:p>
    <w:p>
      <w:pPr>
        <w:numPr>
          <w:ilvl w:val="0"/>
          <w:numId w:val="48"/>
        </w:numPr>
      </w:pPr>
      <w:r>
        <w:rPr/>
        <w:t xml:space="preserve">S’il n’y a pas de rupture ni d’infection secondaire : </w:t>
      </w:r>
      <w:r>
        <w:rPr>
          <w:b/>
        </w:rPr>
        <w:t xml:space="preserve">les </w:t>
      </w:r>
      <w:r>
        <w:rPr>
          <w:b/>
        </w:rPr>
        <w:t>amoebicides</w:t>
      </w:r>
      <w:r>
        <w:rPr>
          <w:b/>
        </w:rPr>
        <w:t xml:space="preserve"> sont le traitement de choix pour l’abcès amibien du foie</w:t>
      </w:r>
      <w:r>
        <w:rPr>
          <w:b/>
        </w:rPr>
        <w:br/>
      </w:r>
    </w:p>
    <w:p>
      <w:pPr>
        <w:numPr>
          <w:ilvl w:val="0"/>
          <w:numId w:val="48"/>
        </w:numPr>
      </w:pPr>
      <w:r>
        <w:rPr>
          <w:b/>
        </w:rPr>
        <w:t>Le meilleur</w:t>
      </w:r>
      <w:r>
        <w:rPr/>
        <w:t xml:space="preserve"> reste </w:t>
      </w:r>
      <w:r>
        <w:rPr>
          <w:b/>
        </w:rPr>
        <w:t xml:space="preserve">le métronidazole </w:t>
      </w:r>
      <w:r>
        <w:rPr/>
        <w:t>ou un apparenté par voie orale</w:t>
      </w:r>
    </w:p>
    <w:p>
      <w:pPr>
        <w:numPr>
          <w:ilvl w:val="0"/>
          <w:numId w:val="48"/>
        </w:numPr>
      </w:pPr>
      <w:r>
        <w:rPr/>
        <w:t>Dose = 750 mg, trois fois par jour pendant une à deux semaines</w:t>
      </w:r>
    </w:p>
    <w:p>
      <w:pPr>
        <w:numPr>
          <w:ilvl w:val="0"/>
          <w:numId w:val="48"/>
        </w:numPr>
      </w:pPr>
      <w:r>
        <w:rPr/>
        <w:t xml:space="preserve">Si le malade est trop faible, </w:t>
      </w:r>
      <w:r>
        <w:rPr>
          <w:b/>
        </w:rPr>
        <w:t>administration veineuse</w:t>
      </w:r>
    </w:p>
    <w:p>
      <w:pPr>
        <w:numPr>
          <w:ilvl w:val="0"/>
          <w:numId w:val="48"/>
        </w:numPr>
      </w:pPr>
      <w:r>
        <w:rPr/>
        <w:t xml:space="preserve">Les autres médicaments de recours sont : émétine, </w:t>
      </w:r>
      <w:r>
        <w:rPr/>
        <w:t>dehydroémétine</w:t>
      </w:r>
      <w:r>
        <w:rPr/>
        <w:t xml:space="preserve"> et </w:t>
      </w:r>
      <w:r>
        <w:rPr/>
        <w:t>la chloroquine</w:t>
      </w:r>
    </w:p>
    <w:p>
      <w:pPr>
        <w:numPr>
          <w:ilvl w:val="0"/>
          <w:numId w:val="48"/>
        </w:numPr>
      </w:pPr>
      <w:r>
        <w:rPr/>
        <w:t xml:space="preserve">La mortalité est faible </w:t>
      </w:r>
      <w:r>
        <w:rPr>
          <w:i/>
        </w:rPr>
        <w:t xml:space="preserve">si on suit </w:t>
      </w:r>
      <w:r>
        <w:rPr>
          <w:i/>
        </w:rPr>
        <w:t>les recommandations</w:t>
      </w:r>
      <w:r>
        <w:rPr>
          <w:i/>
        </w:rPr>
        <w:t xml:space="preserve"> et </w:t>
      </w:r>
      <w:r>
        <w:rPr/>
        <w:t>s’il n’y a pas de surinfection</w:t>
      </w:r>
      <w:r>
        <w:rPr/>
        <w:br/>
      </w:r>
    </w:p>
    <w:p>
      <w:pPr>
        <w:numPr>
          <w:ilvl w:val="0"/>
          <w:numId w:val="48"/>
        </w:numPr>
      </w:pPr>
      <w:r>
        <w:rPr/>
        <w:t xml:space="preserve">La réponse clinique sera </w:t>
      </w:r>
      <w:r>
        <w:rPr/>
        <w:t>appréciée</w:t>
      </w:r>
      <w:r>
        <w:rPr/>
        <w:t xml:space="preserve"> par la disparition de la douleur, de la fièvre et de l’hyperleucocytose</w:t>
      </w:r>
    </w:p>
    <w:p>
      <w:pPr/>
    </w:p>
    <w:p>
      <w:pPr/>
      <w:r>
        <w:rPr>
          <w:b/>
        </w:rPr>
        <w:t>Résumé vocal : 39mn</w:t>
      </w: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