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ANGIOCHOLITE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5"/>
        </w:numPr>
      </w:pPr>
      <w:r>
        <w:rPr/>
        <w:t xml:space="preserve">Obstacle dans la VBP peut entraîner : </w:t>
      </w:r>
    </w:p>
    <w:p>
      <w:pPr>
        <w:numPr>
          <w:ilvl w:val="1"/>
          <w:numId w:val="35"/>
        </w:numPr>
      </w:pPr>
      <w:r>
        <w:rPr>
          <w:b/>
        </w:rPr>
        <w:t>Une infection biliaire (</w:t>
      </w:r>
      <w:r>
        <w:rPr/>
        <w:t>angiocholite)</w:t>
      </w:r>
    </w:p>
    <w:p>
      <w:pPr>
        <w:numPr>
          <w:ilvl w:val="1"/>
          <w:numId w:val="35"/>
        </w:numPr>
      </w:pPr>
      <w:r>
        <w:rPr>
          <w:b/>
        </w:rPr>
        <w:t>Un retentissement hépatique (</w:t>
      </w:r>
      <w:r>
        <w:rPr/>
        <w:t>hépatite septique, cirrhose biliaire secondaire)</w:t>
      </w:r>
    </w:p>
    <w:p>
      <w:pPr>
        <w:numPr>
          <w:ilvl w:val="1"/>
          <w:numId w:val="35"/>
        </w:numPr>
      </w:pPr>
      <w:r>
        <w:rPr/>
        <w:t>Un retentissement pancréatique (pancréatite aiguë)</w:t>
      </w:r>
    </w:p>
    <w:p>
      <w:pPr>
        <w:numPr>
          <w:ilvl w:val="0"/>
          <w:numId w:val="35"/>
        </w:numPr>
      </w:pPr>
      <w:r>
        <w:rPr/>
        <w:t>Lithiase cholédocienne = complication de lithiase vésiculaire</w:t>
      </w:r>
    </w:p>
    <w:p>
      <w:pPr>
        <w:numPr>
          <w:ilvl w:val="0"/>
          <w:numId w:val="35"/>
        </w:numPr>
      </w:pPr>
      <w:r>
        <w:rPr/>
        <w:t xml:space="preserve">Lithiase primitive </w:t>
      </w:r>
      <w:r>
        <w:rPr>
          <w:i/>
        </w:rPr>
        <w:t xml:space="preserve">and VBP : </w:t>
      </w:r>
      <w:r>
        <w:rPr/>
        <w:t>exceptionnelle</w:t>
      </w:r>
      <w:r>
        <w:rPr/>
        <w:br/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35"/>
        </w:numPr>
      </w:pPr>
      <w:r>
        <w:rPr/>
        <w:t>L’angiocholite</w:t>
      </w:r>
      <w:r>
        <w:rPr/>
        <w:t xml:space="preserve"> est une infection de la bile dans les voies biliaires intra et extra-hépatiques</w:t>
      </w:r>
    </w:p>
    <w:p>
      <w:pPr>
        <w:numPr>
          <w:ilvl w:val="1"/>
          <w:numId w:val="35"/>
        </w:numPr>
      </w:pPr>
      <w:r>
        <w:rPr/>
        <w:t>Il y a une pullulation microbienne dans les voies biliaires, favorisée par la stase en amont d’un obstacle</w:t>
      </w:r>
      <w:r>
        <w:rPr/>
        <w:br/>
      </w:r>
    </w:p>
    <w:p>
      <w:pPr>
        <w:numPr>
          <w:ilvl w:val="1"/>
          <w:numId w:val="35"/>
        </w:numPr>
      </w:pPr>
      <w:r>
        <w:rPr/>
        <w:t>La contamination de la bile peut se faire par 3 voies :</w:t>
      </w:r>
    </w:p>
    <w:p>
      <w:pPr>
        <w:numPr>
          <w:ilvl w:val="2"/>
          <w:numId w:val="35"/>
        </w:numPr>
      </w:pPr>
      <w:r>
        <w:rPr/>
        <w:t>Voie rétrograde à partir du tube digestif</w:t>
      </w:r>
    </w:p>
    <w:p>
      <w:pPr>
        <w:numPr>
          <w:ilvl w:val="2"/>
          <w:numId w:val="35"/>
        </w:numPr>
      </w:pPr>
      <w:r>
        <w:rPr/>
        <w:t>Spontanément ou par cathétérisme de la papille</w:t>
      </w:r>
    </w:p>
    <w:p>
      <w:pPr>
        <w:numPr>
          <w:ilvl w:val="2"/>
          <w:numId w:val="35"/>
        </w:numPr>
      </w:pPr>
      <w:r>
        <w:rPr/>
        <w:t>Voie descendante par voie portale (</w:t>
      </w:r>
      <w:r>
        <w:rPr>
          <w:i/>
        </w:rPr>
        <w:t>bactéries and système porte qui vont descendre dans la voie biliaire)</w:t>
      </w:r>
    </w:p>
    <w:p>
      <w:pPr/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FORME TYPIQUE : Angiocholite simple</w:t>
      </w:r>
    </w:p>
    <w:p>
      <w:pPr>
        <w:numPr>
          <w:ilvl w:val="0"/>
          <w:numId w:val="36"/>
        </w:numPr>
      </w:pPr>
      <w:r>
        <w:rPr/>
        <w:t xml:space="preserve">Tableau clinique = </w:t>
      </w:r>
      <w:r>
        <w:rPr>
          <w:b/>
        </w:rPr>
        <w:t>triade de Charcot :</w:t>
      </w:r>
    </w:p>
    <w:p>
      <w:pPr>
        <w:numPr>
          <w:ilvl w:val="1"/>
          <w:numId w:val="36"/>
        </w:numPr>
      </w:pPr>
      <w:r>
        <w:rPr>
          <w:b/>
        </w:rPr>
        <w:t xml:space="preserve">DOULEUR puis </w:t>
      </w:r>
    </w:p>
    <w:p>
      <w:pPr>
        <w:numPr>
          <w:ilvl w:val="1"/>
          <w:numId w:val="36"/>
        </w:numPr>
      </w:pPr>
      <w:r>
        <w:rPr>
          <w:b/>
        </w:rPr>
        <w:t>FIEVRE ELEVEE (39°5-40°) puis</w:t>
      </w:r>
    </w:p>
    <w:p>
      <w:pPr>
        <w:numPr>
          <w:ilvl w:val="1"/>
          <w:numId w:val="36"/>
        </w:numPr>
      </w:pPr>
      <w:r>
        <w:rPr>
          <w:b/>
        </w:rPr>
        <w:t>ICTERE</w:t>
      </w:r>
      <w:r>
        <w:rPr/>
        <w:t xml:space="preserve">, le tout se </w:t>
      </w:r>
      <w:r>
        <w:rPr/>
        <w:t>succedant</w:t>
      </w:r>
      <w:r>
        <w:rPr/>
        <w:t xml:space="preserve"> dans les 24 heures</w:t>
      </w:r>
    </w:p>
    <w:p>
      <w:pPr>
        <w:numPr>
          <w:ilvl w:val="0"/>
          <w:numId w:val="36"/>
        </w:numPr>
      </w:pPr>
      <w:r>
        <w:rPr>
          <w:b/>
        </w:rPr>
        <w:t xml:space="preserve">Douleur : </w:t>
      </w:r>
      <w:r>
        <w:rPr/>
        <w:t>+/- colique hépatique typique ou non par son intensité ou sa topographie + vomissements abondants</w:t>
      </w:r>
    </w:p>
    <w:p>
      <w:pPr>
        <w:numPr>
          <w:ilvl w:val="0"/>
          <w:numId w:val="36"/>
        </w:numPr>
      </w:pPr>
      <w:r>
        <w:rPr>
          <w:b/>
        </w:rPr>
        <w:t xml:space="preserve">Fièvre : </w:t>
      </w:r>
      <w:r>
        <w:rPr/>
        <w:t>avec un</w:t>
      </w:r>
      <w:r>
        <w:rPr>
          <w:b/>
        </w:rPr>
        <w:t xml:space="preserve"> </w:t>
      </w:r>
      <w:r>
        <w:rPr/>
        <w:t>grand clocher, dépassant 38°5 avec frissons (pseudo-palustre)</w:t>
      </w:r>
    </w:p>
    <w:p>
      <w:pPr>
        <w:numPr>
          <w:ilvl w:val="0"/>
          <w:numId w:val="36"/>
        </w:numPr>
      </w:pPr>
      <w:r>
        <w:rPr>
          <w:b/>
        </w:rPr>
        <w:t xml:space="preserve">Ictère : </w:t>
      </w:r>
      <w:r>
        <w:rPr/>
        <w:t>Dans les premières 24 heures, fugace et récidive lors de nouveaux accès fébriles. Prurit rare</w:t>
      </w:r>
      <w:r>
        <w:rPr/>
        <w:br/>
      </w:r>
    </w:p>
    <w:p>
      <w:pPr>
        <w:numPr>
          <w:ilvl w:val="0"/>
          <w:numId w:val="36"/>
        </w:numPr>
      </w:pPr>
      <w:r>
        <w:rPr>
          <w:b/>
        </w:rPr>
        <w:t>Examens biologiques :</w:t>
      </w:r>
    </w:p>
    <w:p>
      <w:pPr>
        <w:numPr>
          <w:ilvl w:val="1"/>
          <w:numId w:val="36"/>
        </w:numPr>
      </w:pPr>
      <w:r>
        <w:rPr/>
        <w:t xml:space="preserve">Hyperleucocytose </w:t>
      </w:r>
      <w:r>
        <w:rPr>
          <w:i/>
        </w:rPr>
        <w:t>à PNN</w:t>
      </w:r>
    </w:p>
    <w:p>
      <w:pPr>
        <w:numPr>
          <w:ilvl w:val="1"/>
          <w:numId w:val="36"/>
        </w:numPr>
      </w:pPr>
      <w:r>
        <w:rPr/>
        <w:t>Choléstase</w:t>
      </w:r>
      <w:r>
        <w:rPr/>
        <w:t xml:space="preserve"> (augmentation de BT - </w:t>
      </w:r>
      <w:r>
        <w:rPr>
          <w:b/>
        </w:rPr>
        <w:t xml:space="preserve">BC </w:t>
      </w:r>
      <w:r>
        <w:rPr/>
      </w:r>
      <w:r>
        <w:rPr/>
        <w:t>- PA - GGT)</w:t>
      </w:r>
    </w:p>
    <w:p>
      <w:pPr>
        <w:numPr>
          <w:ilvl w:val="1"/>
          <w:numId w:val="36"/>
        </w:numPr>
      </w:pPr>
      <w:r>
        <w:rPr/>
        <w:t>Cytolyse modérée (Tr 100 et 300 UI)</w:t>
      </w:r>
      <w:r>
        <w:rPr/>
        <w:br/>
      </w:r>
    </w:p>
    <w:p>
      <w:pPr>
        <w:numPr>
          <w:ilvl w:val="1"/>
          <w:numId w:val="36"/>
        </w:numPr>
      </w:pPr>
      <w:r>
        <w:rPr>
          <w:b/>
        </w:rPr>
        <w:t xml:space="preserve">Hémocultures répétées </w:t>
      </w:r>
      <w:r>
        <w:rPr>
          <w:i/>
        </w:rPr>
        <w:t>lors des pics thermiques</w:t>
      </w:r>
      <w:r>
        <w:rPr>
          <w:b/>
        </w:rPr>
        <w:br/>
      </w:r>
    </w:p>
    <w:p>
      <w:pPr>
        <w:numPr>
          <w:ilvl w:val="1"/>
          <w:numId w:val="36"/>
        </w:numPr>
      </w:pPr>
      <w:r>
        <w:rPr/>
        <w:t>Le diagnostic doit être rapidement confirmé sinon complication</w:t>
      </w:r>
    </w:p>
    <w:p>
      <w:pPr/>
    </w:p>
    <w:p>
      <w:pPr>
        <w:pStyle w:val="Heading3"/>
      </w:pPr>
      <w:r>
        <w:rPr/>
        <w:t>FORME ATYPIQUE</w:t>
      </w:r>
    </w:p>
    <w:p>
      <w:pPr>
        <w:pStyle w:val="Heading4"/>
      </w:pPr>
      <w:r>
        <w:rPr/>
        <w:t>Angiocholite anictérique :</w:t>
      </w:r>
    </w:p>
    <w:p>
      <w:pPr>
        <w:numPr>
          <w:ilvl w:val="1"/>
          <w:numId w:val="37"/>
        </w:numPr>
      </w:pPr>
      <w:r>
        <w:rPr/>
        <w:t>l’ictère</w:t>
      </w:r>
      <w:r>
        <w:rPr/>
        <w:t xml:space="preserve"> manque et l’angiocholite se traduit par des coliques hépatiques ou des accès fébriles plus évocateurs (fièvre </w:t>
      </w:r>
      <w:r>
        <w:rPr/>
        <w:t>bilio</w:t>
      </w:r>
      <w:r>
        <w:rPr/>
        <w:t>-septique)</w:t>
      </w:r>
    </w:p>
    <w:p>
      <w:pPr>
        <w:pStyle w:val="Heading4"/>
      </w:pPr>
      <w:r>
        <w:rPr/>
        <w:t>Angiocholite aiguë compliquée</w:t>
      </w:r>
    </w:p>
    <w:p>
      <w:pPr>
        <w:numPr>
          <w:ilvl w:val="1"/>
          <w:numId w:val="37"/>
        </w:numPr>
      </w:pPr>
      <w:r>
        <w:rPr/>
        <w:t>Formation d’abcès hépatiques multiples</w:t>
      </w:r>
    </w:p>
    <w:p>
      <w:pPr>
        <w:numPr>
          <w:ilvl w:val="1"/>
          <w:numId w:val="37"/>
        </w:numPr>
      </w:pPr>
      <w:r>
        <w:rPr/>
        <w:t xml:space="preserve">Surtout chez les personnes âgées avec des troubles de l’état général +++ </w:t>
      </w:r>
      <w:r>
        <w:rPr/>
        <w:br/>
      </w:r>
      <w:r>
        <w:rPr/>
      </w:r>
    </w:p>
    <w:p>
      <w:pPr>
        <w:pStyle w:val="Heading4"/>
      </w:pPr>
      <w:r>
        <w:rPr/>
        <w:t>Le tableau est celui d’un ictère grave et associe :</w:t>
      </w:r>
    </w:p>
    <w:p>
      <w:pPr>
        <w:numPr>
          <w:ilvl w:val="1"/>
          <w:numId w:val="37"/>
        </w:numPr>
      </w:pPr>
      <w:r>
        <w:rPr/>
        <w:t>Un syndrome infectieux sévère avec fièvre à 40</w:t>
      </w:r>
      <w:r>
        <w:rPr/>
        <w:t>° ,</w:t>
      </w:r>
      <w:r>
        <w:rPr/>
        <w:t xml:space="preserve"> frissons et hyperleucocytose &gt; 20.000</w:t>
      </w:r>
    </w:p>
    <w:p>
      <w:pPr>
        <w:numPr>
          <w:ilvl w:val="1"/>
          <w:numId w:val="37"/>
        </w:numPr>
      </w:pPr>
      <w:r>
        <w:rPr/>
        <w:t>AEG + chute tensionnelle + troubles psychiques</w:t>
      </w:r>
    </w:p>
    <w:p>
      <w:pPr>
        <w:numPr>
          <w:ilvl w:val="1"/>
          <w:numId w:val="37"/>
        </w:numPr>
      </w:pPr>
      <w:r>
        <w:rPr/>
        <w:t>Ictère intense</w:t>
      </w:r>
    </w:p>
    <w:p>
      <w:pPr>
        <w:numPr>
          <w:ilvl w:val="1"/>
          <w:numId w:val="37"/>
        </w:numPr>
      </w:pPr>
      <w:r>
        <w:rPr/>
        <w:t>Insuffisance rénale aiguë</w:t>
      </w:r>
    </w:p>
    <w:p>
      <w:pPr/>
    </w:p>
    <w:p>
      <w:pPr>
        <w:pStyle w:val="Heading2"/>
      </w:pPr>
      <w:r>
        <w:rPr/>
        <w:t xml:space="preserve">DIAGNOSTIC </w:t>
      </w:r>
      <w:r>
        <w:rPr/>
        <w:t>POSITIF</w:t>
      </w:r>
      <w:r>
        <w:rPr>
          <w:rFonts w:ascii="Arial" w:hAnsi="Arial"/>
          <w:b w:val="0"/>
          <w:color w:val="000000"/>
        </w:rPr>
      </w:r>
      <w:r>
        <w:rPr/>
        <w:t xml:space="preserve"> </w:t>
      </w:r>
    </w:p>
    <w:p>
      <w:pPr/>
      <w:r>
        <w:rPr/>
        <w:t>Devant ces tableaux cliniques, le diagnostic repose sur la mise en évidence des calculs de la VBP</w:t>
      </w:r>
    </w:p>
    <w:p>
      <w:pPr>
        <w:numPr>
          <w:ilvl w:val="0"/>
          <w:numId w:val="38"/>
        </w:numPr>
      </w:pPr>
      <w:r>
        <w:rPr>
          <w:b/>
        </w:rPr>
        <w:t xml:space="preserve">L’échographie abdominale </w:t>
      </w:r>
      <w:r>
        <w:rPr/>
        <w:t xml:space="preserve">montre la lithiase vésiculaire associée à une </w:t>
      </w:r>
      <w:r>
        <w:rPr>
          <w:b/>
        </w:rPr>
        <w:t>dilatation des VB intra et extra-hépatiques</w:t>
      </w:r>
    </w:p>
    <w:p>
      <w:pPr>
        <w:numPr>
          <w:ilvl w:val="1"/>
          <w:numId w:val="38"/>
        </w:numPr>
      </w:pPr>
      <w:r>
        <w:rPr/>
        <w:t>Sensibilité pour lithiase de la VBP = 25-30%</w:t>
      </w:r>
    </w:p>
    <w:p>
      <w:pPr>
        <w:numPr>
          <w:ilvl w:val="0"/>
          <w:numId w:val="38"/>
        </w:numPr>
      </w:pPr>
      <w:r>
        <w:rPr>
          <w:b/>
        </w:rPr>
        <w:t>L’</w:t>
      </w:r>
      <w:r>
        <w:rPr>
          <w:b/>
        </w:rPr>
        <w:t>échoendoscopie</w:t>
      </w:r>
      <w:r>
        <w:rPr>
          <w:b/>
        </w:rPr>
        <w:t xml:space="preserve"> :</w:t>
      </w:r>
      <w:r>
        <w:rPr/>
        <w:t xml:space="preserve"> visualise le cholédoque et les calculs + cônes d’ombre postérieurs</w:t>
      </w:r>
    </w:p>
    <w:p>
      <w:pPr>
        <w:numPr>
          <w:ilvl w:val="1"/>
          <w:numId w:val="38"/>
        </w:numPr>
      </w:pPr>
      <w:r>
        <w:rPr/>
        <w:t>c’est</w:t>
      </w:r>
      <w:r>
        <w:rPr/>
        <w:t xml:space="preserve"> l’examen le plus utilisé </w:t>
      </w:r>
      <w:r>
        <w:rPr>
          <w:i/>
        </w:rPr>
        <w:t xml:space="preserve">dans les pays </w:t>
      </w:r>
      <w:r>
        <w:rPr>
          <w:i/>
        </w:rPr>
        <w:t>developpés</w:t>
      </w:r>
      <w:r>
        <w:rPr>
          <w:i/>
        </w:rPr>
        <w:t xml:space="preserve">, encore inexistant à </w:t>
      </w:r>
      <w:r>
        <w:rPr>
          <w:i/>
        </w:rPr>
        <w:t>madagascar</w:t>
      </w:r>
    </w:p>
    <w:p>
      <w:pPr>
        <w:numPr>
          <w:ilvl w:val="0"/>
          <w:numId w:val="38"/>
        </w:numPr>
      </w:pPr>
      <w:r>
        <w:rPr>
          <w:b/>
        </w:rPr>
        <w:t xml:space="preserve">La cholangiographie </w:t>
      </w:r>
      <w:r>
        <w:rPr>
          <w:b/>
        </w:rPr>
        <w:t>rétrograde</w:t>
      </w:r>
      <w:r>
        <w:rPr/>
      </w:r>
      <w:r>
        <w:rPr>
          <w:b/>
        </w:rPr>
        <w:t xml:space="preserve"> par voie endoscopique :</w:t>
      </w:r>
    </w:p>
    <w:p>
      <w:pPr>
        <w:numPr>
          <w:ilvl w:val="1"/>
          <w:numId w:val="38"/>
        </w:numPr>
      </w:pPr>
      <w:r>
        <w:rPr/>
        <w:t xml:space="preserve">Cathétériser la papille sous contrôle </w:t>
      </w:r>
      <w:r>
        <w:rPr/>
        <w:t>duodénoscopique</w:t>
      </w:r>
    </w:p>
    <w:p>
      <w:pPr>
        <w:numPr>
          <w:ilvl w:val="1"/>
          <w:numId w:val="38"/>
        </w:numPr>
      </w:pPr>
      <w:r>
        <w:rPr/>
        <w:t>Opacifier les VB par voie rétrograde</w:t>
      </w:r>
    </w:p>
    <w:p>
      <w:pPr>
        <w:numPr>
          <w:ilvl w:val="1"/>
          <w:numId w:val="38"/>
        </w:numPr>
      </w:pPr>
      <w:r>
        <w:rPr/>
        <w:t>Elle montre :</w:t>
      </w:r>
    </w:p>
    <w:p>
      <w:pPr>
        <w:numPr>
          <w:ilvl w:val="2"/>
          <w:numId w:val="38"/>
        </w:numPr>
      </w:pPr>
      <w:r>
        <w:rPr/>
        <w:t>Un aspect inflammatoire de la papille ou issue de pus</w:t>
      </w:r>
    </w:p>
    <w:p>
      <w:pPr>
        <w:numPr>
          <w:ilvl w:val="2"/>
          <w:numId w:val="38"/>
        </w:numPr>
      </w:pPr>
      <w:r>
        <w:rPr/>
        <w:t>Un ou plusieurs calculs dans la VBP +/- dilatée</w:t>
      </w:r>
    </w:p>
    <w:p>
      <w:pPr>
        <w:numPr>
          <w:ilvl w:val="2"/>
          <w:numId w:val="38"/>
        </w:numPr>
      </w:pPr>
      <w:r>
        <w:rPr/>
        <w:t>Bords du cholédoque festonnés</w:t>
      </w:r>
    </w:p>
    <w:p>
      <w:pPr>
        <w:numPr>
          <w:ilvl w:val="1"/>
          <w:numId w:val="38"/>
        </w:numPr>
      </w:pPr>
      <w:r>
        <w:rPr/>
        <w:t xml:space="preserve">Avantage de cette méthode = </w:t>
      </w:r>
      <w:r>
        <w:rPr/>
        <w:t>sphinctérotomie endoscopique</w:t>
      </w:r>
      <w:r>
        <w:rPr/>
      </w:r>
    </w:p>
    <w:p>
      <w:pPr>
        <w:numPr>
          <w:ilvl w:val="0"/>
          <w:numId w:val="38"/>
        </w:numPr>
      </w:pPr>
      <w:r>
        <w:rPr>
          <w:b/>
        </w:rPr>
        <w:t xml:space="preserve">La cholangiographie </w:t>
      </w:r>
      <w:r>
        <w:rPr>
          <w:b/>
        </w:rPr>
        <w:t>transhépatique</w:t>
      </w:r>
      <w:r>
        <w:rPr>
          <w:b/>
        </w:rPr>
        <w:t xml:space="preserve"> </w:t>
      </w:r>
      <w:r>
        <w:rPr/>
        <w:t>à l’aiguille fine est indiquée en cas d’impossibilité d’opacification par voie endoscopique</w:t>
      </w:r>
    </w:p>
    <w:p>
      <w:pPr/>
    </w:p>
    <w:p>
      <w:pPr>
        <w:pStyle w:val="Heading2"/>
      </w:pPr>
      <w:r>
        <w:rPr/>
        <w:t>TRAITEMENT</w:t>
      </w:r>
    </w:p>
    <w:p>
      <w:pPr/>
      <w:r>
        <w:rPr/>
        <w:t>Associe des moyens médicaux, chirurgicaux et endoscopiques</w:t>
      </w:r>
    </w:p>
    <w:p>
      <w:pPr>
        <w:pStyle w:val="Heading3"/>
      </w:pPr>
      <w:r>
        <w:rPr/>
        <w:t>But :</w:t>
      </w:r>
    </w:p>
    <w:p>
      <w:pPr>
        <w:numPr>
          <w:ilvl w:val="1"/>
          <w:numId w:val="39"/>
        </w:numPr>
      </w:pPr>
      <w:r>
        <w:rPr/>
        <w:t>Désobstruer la VBP</w:t>
      </w:r>
    </w:p>
    <w:p>
      <w:pPr>
        <w:numPr>
          <w:ilvl w:val="1"/>
          <w:numId w:val="39"/>
        </w:numPr>
      </w:pPr>
      <w:r>
        <w:rPr/>
        <w:t>Eviter les migrations calculeuses ultérieures (</w:t>
      </w:r>
      <w:r>
        <w:rPr>
          <w:i/>
        </w:rPr>
        <w:t>autres calculs qui vont encore tomber dans la VBP)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Moyens médicaux :</w:t>
      </w:r>
    </w:p>
    <w:p>
      <w:pPr>
        <w:numPr>
          <w:ilvl w:val="2"/>
          <w:numId w:val="39"/>
        </w:numPr>
      </w:pPr>
      <w:r>
        <w:rPr/>
        <w:t>Hospitalisation en urgence en milieu chirurgical</w:t>
      </w:r>
    </w:p>
    <w:p>
      <w:pPr>
        <w:numPr>
          <w:ilvl w:val="2"/>
          <w:numId w:val="39"/>
        </w:numPr>
      </w:pPr>
      <w:r>
        <w:rPr/>
        <w:t>Repos au lit + à jeun + sonde gastrique en aspiration</w:t>
      </w:r>
    </w:p>
    <w:p>
      <w:pPr>
        <w:numPr>
          <w:ilvl w:val="2"/>
          <w:numId w:val="39"/>
        </w:numPr>
      </w:pPr>
      <w:r>
        <w:rPr/>
        <w:t>Voie veineuse pour réhydratation (</w:t>
      </w:r>
      <w:r>
        <w:rPr>
          <w:i/>
        </w:rPr>
        <w:t>en rapport avec la fièvre élevée qui traîne)</w:t>
      </w:r>
    </w:p>
    <w:p>
      <w:pPr>
        <w:numPr>
          <w:ilvl w:val="2"/>
          <w:numId w:val="39"/>
        </w:numPr>
      </w:pPr>
      <w:r>
        <w:rPr/>
        <w:t>Antibiothérapie parentérale à bonne diffusion biliaire et hépatique, Efficace sur BGN et anaérobies</w:t>
      </w:r>
    </w:p>
    <w:p>
      <w:pPr>
        <w:numPr>
          <w:ilvl w:val="3"/>
          <w:numId w:val="39"/>
        </w:numPr>
      </w:pPr>
      <w:r>
        <w:rPr>
          <w:b/>
        </w:rPr>
        <w:t>Ceftriaxone 1g/j + Métronidazole 1,5g/j</w:t>
      </w:r>
    </w:p>
    <w:p>
      <w:pPr>
        <w:pStyle w:val="Heading4"/>
      </w:pPr>
      <w:r>
        <w:rPr/>
        <w:t>Moyens chirurgicaux :</w:t>
      </w:r>
    </w:p>
    <w:p>
      <w:pPr>
        <w:numPr>
          <w:ilvl w:val="2"/>
          <w:numId w:val="39"/>
        </w:numPr>
      </w:pPr>
      <w:r>
        <w:rPr/>
        <w:t xml:space="preserve">C’est le seul moyen qui assure en un temps les objectifs </w:t>
      </w:r>
      <w:r>
        <w:rPr/>
        <w:t>sus-cités</w:t>
      </w:r>
    </w:p>
    <w:p>
      <w:pPr>
        <w:numPr>
          <w:ilvl w:val="2"/>
          <w:numId w:val="39"/>
        </w:numPr>
      </w:pPr>
      <w:r>
        <w:rPr/>
        <w:t>Consiste à enlever la vésicule source de calcul (</w:t>
      </w:r>
      <w:r>
        <w:rPr/>
        <w:t>cholecystectomie</w:t>
      </w:r>
      <w:r>
        <w:rPr/>
        <w:t>)</w:t>
      </w:r>
    </w:p>
    <w:p>
      <w:pPr>
        <w:numPr>
          <w:ilvl w:val="2"/>
          <w:numId w:val="39"/>
        </w:numPr>
      </w:pPr>
      <w:r>
        <w:rPr/>
        <w:t xml:space="preserve">Rechercher et enlever le ou les calculs dans le </w:t>
      </w:r>
      <w:r>
        <w:rPr/>
        <w:t>choledoque</w:t>
      </w:r>
    </w:p>
    <w:p>
      <w:pPr>
        <w:pStyle w:val="Heading4"/>
      </w:pPr>
      <w:r>
        <w:rPr/>
        <w:t>Moyens endoscopiques :</w:t>
      </w:r>
    </w:p>
    <w:p>
      <w:pPr>
        <w:numPr>
          <w:ilvl w:val="2"/>
          <w:numId w:val="39"/>
        </w:numPr>
      </w:pPr>
      <w:r>
        <w:rPr/>
        <w:t>La sphinctérotomie endoscopique désobstrue la VBP</w:t>
      </w:r>
    </w:p>
    <w:p>
      <w:pPr>
        <w:pStyle w:val="Heading3"/>
      </w:pPr>
      <w:r>
        <w:rPr/>
        <w:t>Indications :</w:t>
      </w:r>
    </w:p>
    <w:p>
      <w:pPr>
        <w:numPr>
          <w:ilvl w:val="1"/>
          <w:numId w:val="39"/>
        </w:numPr>
      </w:pPr>
      <w:r>
        <w:rPr/>
        <w:t>Pour toute angiocholite, le traitement médical est toujours prescrit</w:t>
      </w:r>
    </w:p>
    <w:p>
      <w:pPr>
        <w:numPr>
          <w:ilvl w:val="1"/>
          <w:numId w:val="39"/>
        </w:numPr>
      </w:pPr>
      <w:r>
        <w:rPr/>
        <w:t>Si le malade est en BEG : chirurgie (cholécystectomie + cholangiographie per-</w:t>
      </w:r>
      <w:r>
        <w:rPr/>
        <w:t xml:space="preserve">opératoire </w:t>
      </w:r>
      <w:r>
        <w:rPr>
          <w:i/>
        </w:rPr>
        <w:t>,</w:t>
      </w:r>
      <w:r>
        <w:rPr>
          <w:i/>
        </w:rPr>
        <w:t xml:space="preserve"> visualisation et ablation du calcul)</w:t>
      </w:r>
    </w:p>
    <w:p>
      <w:pPr>
        <w:numPr>
          <w:ilvl w:val="1"/>
          <w:numId w:val="39"/>
        </w:numPr>
      </w:pPr>
      <w:r>
        <w:rPr/>
        <w:t>Si le malade est très fatigué : sphinctérotomie endoscopique</w:t>
      </w:r>
    </w:p>
    <w:p>
      <w:pPr>
        <w:numPr>
          <w:ilvl w:val="2"/>
          <w:numId w:val="39"/>
        </w:numPr>
      </w:pPr>
      <w:r>
        <w:rPr/>
        <w:t xml:space="preserve">Également indiquée pour un </w:t>
      </w:r>
      <w:r>
        <w:rPr/>
        <w:t>cholécystectomisé</w:t>
      </w:r>
      <w:r>
        <w:rPr/>
        <w:t xml:space="preserve"> ou chez les patients âgés, </w:t>
      </w:r>
      <w:r>
        <w:rPr>
          <w:i/>
        </w:rPr>
        <w:t>ne supportant plus l’intervention chirurgicale</w:t>
      </w:r>
    </w:p>
    <w:p>
      <w:pPr/>
    </w:p>
    <w:p>
      <w:pPr/>
      <w:r>
        <w:rPr>
          <w:b/>
        </w:rPr>
        <w:t>Résumé vocal : 43mn</w:t>
      </w:r>
    </w:p>
    <w:p>
      <w:pPr/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