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CANCER DE L’OESOPHAGE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1"/>
        </w:numPr>
      </w:pPr>
      <w:r>
        <w:rPr/>
        <w:t>Cancer digestif fréquent</w:t>
      </w:r>
    </w:p>
    <w:p>
      <w:pPr>
        <w:numPr>
          <w:ilvl w:val="0"/>
          <w:numId w:val="1"/>
        </w:numPr>
      </w:pPr>
      <w:r>
        <w:rPr/>
        <w:t>Un des plus graves par</w:t>
      </w:r>
    </w:p>
    <w:p>
      <w:pPr>
        <w:numPr>
          <w:ilvl w:val="1"/>
          <w:numId w:val="1"/>
        </w:numPr>
      </w:pPr>
      <w:r>
        <w:rPr/>
        <w:t>Son retentissement nutritionnel</w:t>
      </w:r>
    </w:p>
    <w:p>
      <w:pPr>
        <w:numPr>
          <w:ilvl w:val="1"/>
          <w:numId w:val="1"/>
        </w:numPr>
      </w:pPr>
      <w:r>
        <w:rPr/>
        <w:t>Son extension locorégionale</w:t>
      </w:r>
    </w:p>
    <w:p>
      <w:pPr/>
    </w:p>
    <w:p>
      <w:pPr>
        <w:pStyle w:val="Heading2"/>
      </w:pPr>
      <w:r>
        <w:rPr/>
        <w:t>EPIDEMIOLOGIE</w:t>
      </w:r>
    </w:p>
    <w:p>
      <w:pPr>
        <w:numPr>
          <w:ilvl w:val="0"/>
          <w:numId w:val="2"/>
        </w:numPr>
      </w:pPr>
      <w:r>
        <w:rPr/>
        <w:t>Cancer de l’homme (</w:t>
      </w:r>
      <w:r>
        <w:rPr/>
        <w:t>sex</w:t>
      </w:r>
      <w:r>
        <w:rPr/>
        <w:t xml:space="preserve"> ration 15/1)</w:t>
      </w:r>
    </w:p>
    <w:p>
      <w:pPr>
        <w:numPr>
          <w:ilvl w:val="0"/>
          <w:numId w:val="2"/>
        </w:numPr>
      </w:pPr>
      <w:r>
        <w:rPr/>
        <w:t>Exceptionnel avant 35 ans</w:t>
      </w:r>
    </w:p>
    <w:p>
      <w:pPr>
        <w:numPr>
          <w:ilvl w:val="0"/>
          <w:numId w:val="2"/>
        </w:numPr>
      </w:pPr>
      <w:r>
        <w:rPr/>
        <w:t>Pic d’incidence entre 65 et 70 ans</w:t>
      </w:r>
    </w:p>
    <w:p>
      <w:pPr>
        <w:numPr>
          <w:ilvl w:val="0"/>
          <w:numId w:val="2"/>
        </w:numPr>
      </w:pPr>
      <w:r>
        <w:rPr/>
        <w:t>Son incidence varie largement dans le monde</w:t>
      </w:r>
    </w:p>
    <w:p>
      <w:pPr>
        <w:numPr>
          <w:ilvl w:val="0"/>
          <w:numId w:val="2"/>
        </w:numPr>
      </w:pPr>
      <w:r>
        <w:rPr/>
        <w:t>Significativement élevé : chine, Japon, Ecosse, Russie et dans les pays scandinaves</w:t>
      </w:r>
    </w:p>
    <w:p>
      <w:pPr/>
    </w:p>
    <w:p>
      <w:pPr>
        <w:pStyle w:val="Heading2"/>
      </w:pPr>
      <w:r>
        <w:rPr/>
        <w:t>ETIOLOGIE (facteurs favorisants)</w:t>
      </w:r>
    </w:p>
    <w:p>
      <w:pPr>
        <w:pStyle w:val="Heading3"/>
      </w:pPr>
      <w:r>
        <w:rPr/>
        <w:t>FACTEURS EXOGENES</w:t>
      </w:r>
    </w:p>
    <w:p>
      <w:pPr>
        <w:numPr>
          <w:ilvl w:val="1"/>
          <w:numId w:val="3"/>
        </w:numPr>
      </w:pPr>
      <w:r>
        <w:rPr>
          <w:b/>
        </w:rPr>
        <w:t>Alcool et tabac</w:t>
      </w:r>
    </w:p>
    <w:p>
      <w:pPr>
        <w:numPr>
          <w:ilvl w:val="2"/>
          <w:numId w:val="3"/>
        </w:numPr>
      </w:pPr>
      <w:r>
        <w:rPr/>
        <w:t>Facteur essentiel en Europe et en Amérique du Nord</w:t>
      </w:r>
    </w:p>
    <w:p>
      <w:pPr>
        <w:numPr>
          <w:ilvl w:val="2"/>
          <w:numId w:val="3"/>
        </w:numPr>
      </w:pPr>
      <w:r>
        <w:rPr/>
        <w:t>2 facteurs de risques indépendants + relation dose-effet</w:t>
      </w:r>
    </w:p>
    <w:p>
      <w:pPr>
        <w:numPr>
          <w:ilvl w:val="2"/>
          <w:numId w:val="3"/>
        </w:numPr>
      </w:pPr>
      <w:r>
        <w:rPr/>
        <w:t>Association des 2 toxiques : effet multiplicatif</w:t>
      </w:r>
    </w:p>
    <w:p>
      <w:pPr>
        <w:numPr>
          <w:ilvl w:val="1"/>
          <w:numId w:val="3"/>
        </w:numPr>
      </w:pPr>
      <w:r>
        <w:rPr>
          <w:b/>
        </w:rPr>
        <w:t>Facteurs alimentaires</w:t>
      </w:r>
    </w:p>
    <w:p>
      <w:pPr>
        <w:numPr>
          <w:ilvl w:val="2"/>
          <w:numId w:val="3"/>
        </w:numPr>
      </w:pPr>
      <w:r>
        <w:rPr/>
        <w:t>Rôle protecteur du poisson, des fruits frais et légumes</w:t>
      </w:r>
    </w:p>
    <w:p>
      <w:pPr>
        <w:numPr>
          <w:ilvl w:val="2"/>
          <w:numId w:val="3"/>
        </w:numPr>
      </w:pPr>
      <w:r>
        <w:rPr/>
        <w:t>Augmentation du risque avec la consommation de beurre</w:t>
      </w:r>
    </w:p>
    <w:p>
      <w:pPr>
        <w:numPr>
          <w:ilvl w:val="1"/>
          <w:numId w:val="3"/>
        </w:numPr>
      </w:pPr>
      <w:r>
        <w:rPr>
          <w:b/>
        </w:rPr>
        <w:t>Facteurs socio-économiques</w:t>
      </w:r>
    </w:p>
    <w:p>
      <w:pPr>
        <w:numPr>
          <w:ilvl w:val="2"/>
          <w:numId w:val="3"/>
        </w:numPr>
      </w:pPr>
      <w:r>
        <w:rPr/>
        <w:t>Population de bas niveau socio-économique</w:t>
      </w:r>
    </w:p>
    <w:p>
      <w:pPr>
        <w:numPr>
          <w:ilvl w:val="2"/>
          <w:numId w:val="3"/>
        </w:numPr>
      </w:pPr>
      <w:r>
        <w:rPr/>
        <w:t>Zone rurale</w:t>
      </w:r>
    </w:p>
    <w:p>
      <w:pPr>
        <w:pStyle w:val="Heading3"/>
      </w:pPr>
      <w:r>
        <w:rPr/>
        <w:t>FACTEURS ENDOGENES</w:t>
      </w:r>
    </w:p>
    <w:p>
      <w:pPr>
        <w:numPr>
          <w:ilvl w:val="1"/>
          <w:numId w:val="3"/>
        </w:numPr>
      </w:pPr>
      <w:r>
        <w:rPr/>
        <w:t>L’</w:t>
      </w:r>
      <w:r>
        <w:rPr/>
        <w:t>œsophagite</w:t>
      </w:r>
      <w:r>
        <w:rPr/>
        <w:t xml:space="preserve"> peptique par </w:t>
      </w:r>
      <w:r>
        <w:rPr/>
        <w:t>reflux</w:t>
      </w:r>
    </w:p>
    <w:p>
      <w:pPr>
        <w:numPr>
          <w:ilvl w:val="2"/>
          <w:numId w:val="3"/>
        </w:numPr>
      </w:pPr>
      <w:r>
        <w:rPr/>
        <w:t>Endobrachy</w:t>
      </w:r>
      <w:r>
        <w:rPr/>
        <w:t>-</w:t>
      </w:r>
      <w:r>
        <w:rPr/>
        <w:t xml:space="preserve">œsophage </w:t>
      </w:r>
      <w:r>
        <w:rPr/>
        <w:t xml:space="preserve">(EBO) est une condition </w:t>
      </w:r>
      <w:r>
        <w:rPr/>
        <w:t>précancer</w:t>
      </w:r>
    </w:p>
    <w:p>
      <w:pPr>
        <w:numPr>
          <w:ilvl w:val="2"/>
          <w:numId w:val="3"/>
        </w:numPr>
      </w:pPr>
      <w:r>
        <w:rPr/>
        <w:t>Agression peptique de la muqueuse du bas-</w:t>
      </w:r>
      <w:r>
        <w:rPr/>
        <w:t>œsophage</w:t>
      </w:r>
    </w:p>
    <w:p>
      <w:pPr>
        <w:numPr>
          <w:ilvl w:val="2"/>
          <w:numId w:val="3"/>
        </w:numPr>
      </w:pPr>
      <w:r>
        <w:rPr/>
        <w:t xml:space="preserve">Remplacée de bas en haut par une muqueuse de type glandulaire (= </w:t>
      </w:r>
      <w:r>
        <w:rPr/>
        <w:t>œsophage</w:t>
      </w:r>
      <w:r>
        <w:rPr/>
        <w:t xml:space="preserve"> de </w:t>
      </w:r>
      <w:r>
        <w:rPr/>
        <w:t>Barett</w:t>
      </w:r>
      <w:r>
        <w:rPr/>
        <w:t>)</w:t>
      </w:r>
    </w:p>
    <w:p>
      <w:pPr>
        <w:numPr>
          <w:ilvl w:val="1"/>
          <w:numId w:val="3"/>
        </w:numPr>
      </w:pPr>
      <w:r>
        <w:rPr>
          <w:b/>
        </w:rPr>
        <w:t xml:space="preserve">Les </w:t>
      </w:r>
      <w:r>
        <w:rPr>
          <w:b/>
        </w:rPr>
        <w:t>œsophagites</w:t>
      </w:r>
      <w:r>
        <w:rPr>
          <w:b/>
        </w:rPr>
        <w:t xml:space="preserve"> non liées au reflux</w:t>
      </w:r>
    </w:p>
    <w:p>
      <w:pPr>
        <w:numPr>
          <w:ilvl w:val="2"/>
          <w:numId w:val="3"/>
        </w:numPr>
      </w:pPr>
      <w:r>
        <w:rPr/>
        <w:t>Les sténoses cicatricielles après ingestion de caustiques</w:t>
      </w:r>
    </w:p>
    <w:p>
      <w:pPr>
        <w:numPr>
          <w:ilvl w:val="2"/>
          <w:numId w:val="3"/>
        </w:numPr>
      </w:pPr>
      <w:r>
        <w:rPr/>
        <w:t>L’</w:t>
      </w:r>
      <w:r>
        <w:rPr/>
        <w:t>œsophagite</w:t>
      </w:r>
      <w:r>
        <w:rPr/>
        <w:t xml:space="preserve"> de stase du méga-</w:t>
      </w:r>
      <w:r>
        <w:rPr/>
        <w:t>oesophage</w:t>
      </w:r>
    </w:p>
    <w:p>
      <w:pPr>
        <w:numPr>
          <w:ilvl w:val="2"/>
          <w:numId w:val="3"/>
        </w:numPr>
      </w:pPr>
      <w:r>
        <w:rPr/>
        <w:t>Cancers sur le diverticule de Zenker</w:t>
      </w:r>
    </w:p>
    <w:p>
      <w:pPr>
        <w:numPr>
          <w:ilvl w:val="2"/>
          <w:numId w:val="3"/>
        </w:numPr>
      </w:pPr>
      <w:r>
        <w:rPr/>
        <w:t>L’</w:t>
      </w:r>
      <w:r>
        <w:rPr/>
        <w:t>œsophagite</w:t>
      </w:r>
      <w:r>
        <w:rPr/>
        <w:t xml:space="preserve"> sidéropénique de Plummer-Vinson ou Kelly-Paterson</w:t>
      </w:r>
    </w:p>
    <w:p>
      <w:pPr>
        <w:ind w:left="360"/>
      </w:pPr>
    </w:p>
    <w:p>
      <w:pPr>
        <w:pStyle w:val="Heading2"/>
      </w:pPr>
      <w:r>
        <w:rPr/>
        <w:t>ANATOMIE PATHOLOGIQUE</w:t>
      </w:r>
    </w:p>
    <w:p>
      <w:pPr>
        <w:pStyle w:val="Heading3"/>
      </w:pPr>
      <w:r>
        <w:rPr/>
        <w:t>Histologie :</w:t>
      </w:r>
    </w:p>
    <w:p>
      <w:pPr>
        <w:numPr>
          <w:ilvl w:val="1"/>
          <w:numId w:val="4"/>
        </w:numPr>
      </w:pPr>
      <w:r>
        <w:rPr/>
        <w:t xml:space="preserve">90 - 95% = cancers épidermoïdes (Bouche de Killian -&gt; jonction </w:t>
      </w:r>
      <w:r>
        <w:rPr/>
        <w:t>oeso</w:t>
      </w:r>
      <w:r>
        <w:rPr/>
        <w:t>-gastrique)</w:t>
      </w:r>
    </w:p>
    <w:p>
      <w:pPr>
        <w:numPr>
          <w:ilvl w:val="1"/>
          <w:numId w:val="4"/>
        </w:numPr>
      </w:pPr>
      <w:r>
        <w:rPr/>
        <w:t>5% = adénocarcinomes, segment inférieur de l’organe (tend à augmenter jusqu’à 35%)</w:t>
      </w:r>
    </w:p>
    <w:p>
      <w:pPr>
        <w:numPr>
          <w:ilvl w:val="1"/>
          <w:numId w:val="4"/>
        </w:numPr>
      </w:pPr>
      <w:r>
        <w:rPr/>
        <w:t>Les autres types sont exceptionnels : sarcomes, carcinosarcome, carcinome à petite cellule et mélanome primitif</w:t>
      </w:r>
    </w:p>
    <w:p>
      <w:pPr>
        <w:pStyle w:val="Heading3"/>
      </w:pPr>
      <w:r>
        <w:rPr/>
        <w:t>Aspects macroscopiques</w:t>
      </w:r>
    </w:p>
    <w:p>
      <w:pPr>
        <w:numPr>
          <w:ilvl w:val="1"/>
          <w:numId w:val="4"/>
        </w:numPr>
      </w:pPr>
      <w:r>
        <w:rPr/>
        <w:t xml:space="preserve">Tumeur </w:t>
      </w:r>
      <w:r>
        <w:rPr>
          <w:b/>
        </w:rPr>
        <w:t xml:space="preserve">polypoïde </w:t>
      </w:r>
      <w:r>
        <w:rPr/>
        <w:t xml:space="preserve">ou </w:t>
      </w:r>
      <w:r>
        <w:rPr/>
        <w:t>ulcéro</w:t>
      </w:r>
      <w:r>
        <w:rPr/>
        <w:t>-bourgeonnante (60%), souvent volumineuse, sessile ou pédiculée</w:t>
      </w:r>
    </w:p>
    <w:p>
      <w:pPr>
        <w:numPr>
          <w:ilvl w:val="1"/>
          <w:numId w:val="4"/>
        </w:numPr>
      </w:pPr>
      <w:r>
        <w:rPr/>
        <w:t xml:space="preserve">Tumeur </w:t>
      </w:r>
      <w:r>
        <w:rPr>
          <w:b/>
        </w:rPr>
        <w:t>ulcérée (</w:t>
      </w:r>
      <w:r>
        <w:rPr/>
        <w:t>20%) : ulcération à grand axe vertical à fond bourgeonnante ou nécrotique avec des bords surélevés</w:t>
      </w:r>
    </w:p>
    <w:p>
      <w:pPr>
        <w:numPr>
          <w:ilvl w:val="1"/>
          <w:numId w:val="4"/>
        </w:numPr>
      </w:pPr>
      <w:r>
        <w:rPr/>
        <w:t xml:space="preserve">Tumeur </w:t>
      </w:r>
      <w:r>
        <w:rPr>
          <w:b/>
        </w:rPr>
        <w:t>infiltrante pure (</w:t>
      </w:r>
      <w:r>
        <w:rPr/>
        <w:t>10%) : avec un aspect parcheminé, muqueuse ulcérée en surface, peu étendue (</w:t>
      </w:r>
      <w:r>
        <w:rPr>
          <w:i/>
        </w:rPr>
        <w:t xml:space="preserve">pas de développement </w:t>
      </w:r>
      <w:r>
        <w:rPr>
          <w:i/>
        </w:rPr>
        <w:t>intra-luminale</w:t>
      </w:r>
      <w:r>
        <w:rPr>
          <w:i/>
        </w:rPr>
        <w:t>)</w:t>
      </w:r>
    </w:p>
    <w:p>
      <w:pPr>
        <w:pStyle w:val="Heading3"/>
      </w:pPr>
      <w:r>
        <w:rPr/>
        <w:t>Extension</w:t>
      </w:r>
    </w:p>
    <w:p>
      <w:pPr>
        <w:numPr>
          <w:ilvl w:val="1"/>
          <w:numId w:val="4"/>
        </w:numPr>
      </w:pPr>
      <w:r>
        <w:rPr>
          <w:b/>
        </w:rPr>
        <w:t xml:space="preserve">Locale : </w:t>
      </w:r>
    </w:p>
    <w:p>
      <w:pPr>
        <w:numPr>
          <w:ilvl w:val="2"/>
          <w:numId w:val="4"/>
        </w:numPr>
      </w:pPr>
      <w:r>
        <w:rPr/>
        <w:t xml:space="preserve">Vers la lumière </w:t>
      </w:r>
      <w:r>
        <w:rPr/>
        <w:t>oesophagienne</w:t>
      </w:r>
    </w:p>
    <w:p>
      <w:pPr>
        <w:numPr>
          <w:ilvl w:val="2"/>
          <w:numId w:val="4"/>
        </w:numPr>
      </w:pPr>
      <w:r>
        <w:rPr/>
        <w:t>En hauteur</w:t>
      </w:r>
    </w:p>
    <w:p>
      <w:pPr>
        <w:numPr>
          <w:ilvl w:val="2"/>
          <w:numId w:val="4"/>
        </w:numPr>
      </w:pPr>
      <w:r>
        <w:rPr/>
        <w:t>En profondeur</w:t>
      </w:r>
    </w:p>
    <w:p>
      <w:pPr>
        <w:numPr>
          <w:ilvl w:val="1"/>
          <w:numId w:val="4"/>
        </w:numPr>
      </w:pPr>
      <w:r>
        <w:rPr>
          <w:b/>
        </w:rPr>
        <w:t xml:space="preserve">Régionale : </w:t>
      </w:r>
      <w:r>
        <w:rPr/>
        <w:t>l’extension par voie lymphatique se fait vers :</w:t>
      </w:r>
    </w:p>
    <w:p>
      <w:pPr>
        <w:numPr>
          <w:ilvl w:val="2"/>
          <w:numId w:val="4"/>
        </w:numPr>
      </w:pPr>
      <w:r>
        <w:rPr/>
        <w:t>Les ganglions para-</w:t>
      </w:r>
      <w:r>
        <w:rPr/>
        <w:t>oesophagiens</w:t>
      </w:r>
      <w:r>
        <w:rPr/>
        <w:t xml:space="preserve">, inter-trachéo-bronchiques, sous-claviculaires, coronaire stomachique, </w:t>
      </w:r>
      <w:r>
        <w:rPr/>
        <w:t>coeliaques</w:t>
      </w:r>
      <w:r>
        <w:rPr/>
        <w:t>, cervicaux</w:t>
      </w:r>
    </w:p>
    <w:p>
      <w:pPr>
        <w:numPr>
          <w:ilvl w:val="1"/>
          <w:numId w:val="4"/>
        </w:numPr>
      </w:pPr>
      <w:r>
        <w:rPr>
          <w:b/>
        </w:rPr>
        <w:t xml:space="preserve">Générale : </w:t>
      </w:r>
    </w:p>
    <w:p>
      <w:pPr>
        <w:numPr>
          <w:ilvl w:val="2"/>
          <w:numId w:val="4"/>
        </w:numPr>
      </w:pPr>
      <w:r>
        <w:rPr/>
        <w:t>Hépatiques</w:t>
      </w:r>
    </w:p>
    <w:p>
      <w:pPr>
        <w:numPr>
          <w:ilvl w:val="2"/>
          <w:numId w:val="4"/>
        </w:numPr>
      </w:pPr>
      <w:r>
        <w:rPr/>
        <w:t xml:space="preserve">Pulmonaires </w:t>
      </w:r>
    </w:p>
    <w:p>
      <w:pPr>
        <w:numPr>
          <w:ilvl w:val="2"/>
          <w:numId w:val="4"/>
        </w:numPr>
      </w:pPr>
      <w:r>
        <w:rPr/>
        <w:t xml:space="preserve">Osseuses </w:t>
      </w:r>
    </w:p>
    <w:p>
      <w:pPr>
        <w:ind w:left="360"/>
      </w:pPr>
      <w:r>
        <w:rPr/>
      </w:r>
      <w:r>
        <w:rPr/>
      </w:r>
      <w:r>
        <w:rPr/>
      </w:r>
      <w:r>
        <w:drawing>
          <wp:inline xmlns:a="http://schemas.openxmlformats.org/drawingml/2006/main" xmlns:pic="http://schemas.openxmlformats.org/drawingml/2006/picture">
            <wp:extent cx="16167100" cy="1144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67100" cy="1144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13525500" cy="15760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0" cy="1576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CLINIQUE</w:t>
      </w:r>
    </w:p>
    <w:p>
      <w:pPr>
        <w:pStyle w:val="Heading3"/>
      </w:pPr>
      <w:r>
        <w:rPr/>
        <w:t>SIGNES D’APPEL : 9 fois sur 10</w:t>
      </w:r>
    </w:p>
    <w:p>
      <w:pPr>
        <w:numPr>
          <w:ilvl w:val="1"/>
          <w:numId w:val="5"/>
        </w:numPr>
      </w:pPr>
      <w:r>
        <w:rPr/>
        <w:t>Une gêne intermittente à la déglutition</w:t>
      </w:r>
    </w:p>
    <w:p>
      <w:pPr>
        <w:numPr>
          <w:ilvl w:val="1"/>
          <w:numId w:val="5"/>
        </w:numPr>
      </w:pPr>
      <w:r>
        <w:rPr/>
        <w:t>Une sensation d’accrochage</w:t>
      </w:r>
    </w:p>
    <w:p>
      <w:pPr>
        <w:numPr>
          <w:ilvl w:val="1"/>
          <w:numId w:val="5"/>
        </w:numPr>
      </w:pPr>
      <w:r>
        <w:rPr/>
        <w:t>Un blocage alimentaire isolé</w:t>
      </w:r>
    </w:p>
    <w:p>
      <w:pPr>
        <w:numPr>
          <w:ilvl w:val="1"/>
          <w:numId w:val="5"/>
        </w:numPr>
      </w:pPr>
      <w:r>
        <w:rPr/>
        <w:t>Une odynophagie (douleur à la déglutition)</w:t>
      </w:r>
      <w:r>
        <w:rPr/>
        <w:br/>
      </w:r>
      <w:r>
        <w:rPr/>
        <w:br/>
      </w:r>
      <w:r>
        <w:rPr/>
        <w:t xml:space="preserve">=&gt; </w:t>
      </w:r>
      <w:r>
        <w:rPr>
          <w:b/>
        </w:rPr>
        <w:t>FIBROSCOPIE DIGESTIVE HAUTE en cas d’apparition de 1 de ces signes</w:t>
      </w:r>
    </w:p>
    <w:p>
      <w:pPr>
        <w:pStyle w:val="Heading3"/>
      </w:pPr>
      <w:r>
        <w:rPr/>
        <w:t>1/3 inférieur :</w:t>
      </w:r>
    </w:p>
    <w:p>
      <w:pPr>
        <w:numPr>
          <w:ilvl w:val="1"/>
          <w:numId w:val="5"/>
        </w:numPr>
      </w:pPr>
      <w:r>
        <w:rPr/>
        <w:t>Épigastralgies</w:t>
      </w:r>
    </w:p>
    <w:p>
      <w:pPr>
        <w:numPr>
          <w:ilvl w:val="1"/>
          <w:numId w:val="5"/>
        </w:numPr>
      </w:pPr>
      <w:r>
        <w:rPr/>
        <w:t>Éructations bloquées</w:t>
      </w:r>
    </w:p>
    <w:p>
      <w:pPr>
        <w:numPr>
          <w:ilvl w:val="1"/>
          <w:numId w:val="5"/>
        </w:numPr>
      </w:pPr>
      <w:r>
        <w:rPr/>
        <w:t>Brûlures rétrosternales</w:t>
      </w:r>
    </w:p>
    <w:p>
      <w:pPr/>
    </w:p>
    <w:p>
      <w:pPr>
        <w:pStyle w:val="Heading2"/>
      </w:pPr>
      <w:r>
        <w:rPr/>
        <w:t>DIAGNOSTIC POSITIF</w:t>
      </w:r>
    </w:p>
    <w:p>
      <w:pPr/>
      <w:r>
        <w:rPr/>
        <w:t>Beaucoup de patients sont vus au stade de cancer évolué</w:t>
      </w:r>
    </w:p>
    <w:p>
      <w:pPr>
        <w:pStyle w:val="Heading3"/>
      </w:pPr>
      <w:r>
        <w:rPr/>
        <w:t>Signes de cancer évolué (signe clinique)</w:t>
      </w:r>
    </w:p>
    <w:p>
      <w:pPr>
        <w:numPr>
          <w:ilvl w:val="0"/>
          <w:numId w:val="6"/>
        </w:numPr>
      </w:pPr>
      <w:r>
        <w:rPr>
          <w:b/>
        </w:rPr>
        <w:t xml:space="preserve">La dysphagie </w:t>
      </w:r>
      <w:r>
        <w:rPr/>
        <w:t>est permanente (</w:t>
      </w:r>
      <w:r>
        <w:rPr>
          <w:i/>
        </w:rPr>
        <w:t>difficulté à déglutir)</w:t>
      </w:r>
    </w:p>
    <w:p>
      <w:pPr>
        <w:numPr>
          <w:ilvl w:val="1"/>
          <w:numId w:val="6"/>
        </w:numPr>
      </w:pPr>
      <w:r>
        <w:rPr/>
        <w:t>Solides puis pâteux puis liquides, confinant à l’</w:t>
      </w:r>
      <w:r>
        <w:rPr/>
        <w:t>aphagie</w:t>
      </w:r>
    </w:p>
    <w:p>
      <w:pPr>
        <w:numPr>
          <w:ilvl w:val="0"/>
          <w:numId w:val="6"/>
        </w:numPr>
      </w:pPr>
      <w:r>
        <w:rPr/>
        <w:t>+/-</w:t>
      </w:r>
    </w:p>
    <w:p>
      <w:pPr>
        <w:numPr>
          <w:ilvl w:val="1"/>
          <w:numId w:val="6"/>
        </w:numPr>
      </w:pPr>
      <w:r>
        <w:rPr/>
        <w:t>Hypersialorrhée</w:t>
      </w:r>
    </w:p>
    <w:p>
      <w:pPr>
        <w:numPr>
          <w:ilvl w:val="1"/>
          <w:numId w:val="6"/>
        </w:numPr>
      </w:pPr>
      <w:r>
        <w:rPr/>
        <w:t>Régurgitations</w:t>
      </w:r>
    </w:p>
    <w:p>
      <w:pPr>
        <w:numPr>
          <w:ilvl w:val="1"/>
          <w:numId w:val="6"/>
        </w:numPr>
      </w:pPr>
      <w:r>
        <w:rPr/>
        <w:t>Fausses routes alimentaires</w:t>
      </w:r>
    </w:p>
    <w:p>
      <w:pPr>
        <w:numPr>
          <w:ilvl w:val="0"/>
          <w:numId w:val="6"/>
        </w:numPr>
      </w:pPr>
      <w:r>
        <w:rPr/>
        <w:t>Si douleurs thoraciques = extension médiastinale</w:t>
      </w:r>
    </w:p>
    <w:p>
      <w:pPr>
        <w:numPr>
          <w:ilvl w:val="0"/>
          <w:numId w:val="6"/>
        </w:numPr>
      </w:pPr>
      <w:r>
        <w:rPr/>
        <w:t>AEG plus liée à l’anorexie qu’à la dysphagie</w:t>
      </w:r>
    </w:p>
    <w:p>
      <w:pPr/>
    </w:p>
    <w:p>
      <w:pPr>
        <w:pStyle w:val="Heading3"/>
      </w:pPr>
      <w:r>
        <w:rPr/>
        <w:t>Signes de cancer évolué (signe d’extension)</w:t>
      </w:r>
    </w:p>
    <w:p>
      <w:pPr>
        <w:numPr>
          <w:ilvl w:val="0"/>
          <w:numId w:val="7"/>
        </w:numPr>
      </w:pPr>
      <w:r>
        <w:rPr/>
        <w:t>Dysphonie par atteinte récurrentielle</w:t>
      </w:r>
    </w:p>
    <w:p>
      <w:pPr>
        <w:numPr>
          <w:ilvl w:val="0"/>
          <w:numId w:val="7"/>
        </w:numPr>
      </w:pPr>
      <w:r>
        <w:rPr/>
        <w:t>Toux à la déglutition par fistule</w:t>
      </w:r>
    </w:p>
    <w:p>
      <w:pPr>
        <w:numPr>
          <w:ilvl w:val="0"/>
          <w:numId w:val="7"/>
        </w:numPr>
      </w:pPr>
      <w:r>
        <w:rPr/>
        <w:t xml:space="preserve">Ganglion de </w:t>
      </w:r>
      <w:r>
        <w:rPr/>
        <w:t>Troisier</w:t>
      </w:r>
    </w:p>
    <w:p>
      <w:pPr>
        <w:numPr>
          <w:ilvl w:val="0"/>
          <w:numId w:val="7"/>
        </w:numPr>
      </w:pPr>
      <w:r>
        <w:rPr/>
        <w:t>Hépatomégalie métastatique</w:t>
      </w:r>
    </w:p>
    <w:p>
      <w:pPr>
        <w:numPr>
          <w:ilvl w:val="0"/>
          <w:numId w:val="7"/>
        </w:numPr>
      </w:pPr>
      <w:r>
        <w:rPr/>
        <w:t>Médiastinite ou pleurésie purulente</w:t>
      </w:r>
    </w:p>
    <w:p>
      <w:pPr/>
    </w:p>
    <w:p>
      <w:pPr>
        <w:pStyle w:val="Heading3"/>
      </w:pPr>
      <w:r>
        <w:rPr/>
        <w:t>L’examen clinique évalue :</w:t>
      </w:r>
    </w:p>
    <w:p>
      <w:pPr>
        <w:pStyle w:val="Heading4"/>
      </w:pPr>
      <w:r>
        <w:rPr/>
        <w:t>La dénutrition</w:t>
      </w:r>
    </w:p>
    <w:p>
      <w:pPr>
        <w:numPr>
          <w:ilvl w:val="1"/>
          <w:numId w:val="8"/>
        </w:numPr>
      </w:pPr>
      <w:r>
        <w:rPr/>
        <w:t>Pourcentage de perte de poids</w:t>
      </w:r>
    </w:p>
    <w:p>
      <w:pPr>
        <w:numPr>
          <w:ilvl w:val="1"/>
          <w:numId w:val="8"/>
        </w:numPr>
      </w:pPr>
      <w:r>
        <w:rPr/>
        <w:t xml:space="preserve">Déshydratation </w:t>
      </w:r>
    </w:p>
    <w:p>
      <w:pPr>
        <w:numPr>
          <w:ilvl w:val="1"/>
          <w:numId w:val="8"/>
        </w:numPr>
      </w:pPr>
      <w:r>
        <w:rPr/>
        <w:t>Pli cutané</w:t>
      </w:r>
    </w:p>
    <w:p>
      <w:pPr>
        <w:pStyle w:val="Heading4"/>
      </w:pPr>
      <w:r>
        <w:rPr/>
        <w:t>Recherche une extension</w:t>
      </w:r>
    </w:p>
    <w:p>
      <w:pPr>
        <w:numPr>
          <w:ilvl w:val="1"/>
          <w:numId w:val="8"/>
        </w:numPr>
      </w:pPr>
      <w:r>
        <w:rPr/>
        <w:t xml:space="preserve">Palpation des creux </w:t>
      </w:r>
      <w:r>
        <w:rPr/>
        <w:t>sus-claviculaires</w:t>
      </w:r>
    </w:p>
    <w:p>
      <w:pPr>
        <w:numPr>
          <w:ilvl w:val="1"/>
          <w:numId w:val="8"/>
        </w:numPr>
      </w:pPr>
      <w:r>
        <w:rPr/>
        <w:t xml:space="preserve">Palpation de la région </w:t>
      </w:r>
      <w:r>
        <w:rPr/>
        <w:t>coeliaque</w:t>
      </w:r>
    </w:p>
    <w:p>
      <w:pPr>
        <w:pStyle w:val="Heading4"/>
      </w:pPr>
      <w:r>
        <w:rPr/>
        <w:t>Dépiste une pathologie associée</w:t>
      </w:r>
    </w:p>
    <w:p>
      <w:pPr/>
    </w:p>
    <w:p>
      <w:pPr>
        <w:pStyle w:val="Heading2"/>
      </w:pPr>
      <w:r>
        <w:rPr/>
        <w:t>EXAMENS COMPLEMENTAIRES</w:t>
      </w:r>
    </w:p>
    <w:p>
      <w:pPr>
        <w:numPr>
          <w:ilvl w:val="0"/>
          <w:numId w:val="9"/>
        </w:numPr>
      </w:pPr>
      <w:r>
        <w:rPr>
          <w:b/>
        </w:rPr>
        <w:t xml:space="preserve">Endoscopies + Biopsies = </w:t>
      </w:r>
      <w:r>
        <w:rPr/>
        <w:t xml:space="preserve">examens de </w:t>
      </w:r>
      <w:r>
        <w:rPr>
          <w:b/>
        </w:rPr>
        <w:t>première intention</w:t>
      </w:r>
    </w:p>
    <w:p>
      <w:pPr>
        <w:numPr>
          <w:ilvl w:val="0"/>
          <w:numId w:val="9"/>
        </w:numPr>
      </w:pPr>
      <w:r>
        <w:rPr/>
        <w:t>Examen radiologique en complément</w:t>
      </w:r>
    </w:p>
    <w:p>
      <w:pPr/>
    </w:p>
    <w:p>
      <w:pPr>
        <w:pStyle w:val="Heading3"/>
      </w:pPr>
      <w:r>
        <w:rPr/>
        <w:t>Endoscopie ou Fibroscopie digestive haute</w:t>
      </w:r>
    </w:p>
    <w:p>
      <w:pPr>
        <w:numPr>
          <w:ilvl w:val="1"/>
          <w:numId w:val="10"/>
        </w:numPr>
      </w:pPr>
      <w:r>
        <w:rPr/>
        <w:t>Apprécie la distance entre pôle supérieur du cancer et l’arcade dentaire</w:t>
      </w:r>
    </w:p>
    <w:p>
      <w:pPr>
        <w:numPr>
          <w:ilvl w:val="1"/>
          <w:numId w:val="10"/>
        </w:numPr>
      </w:pPr>
      <w:r>
        <w:rPr/>
        <w:t>Apprécie le caractère circulaire ou non</w:t>
      </w:r>
    </w:p>
    <w:p>
      <w:pPr>
        <w:numPr>
          <w:ilvl w:val="1"/>
          <w:numId w:val="10"/>
        </w:numPr>
      </w:pPr>
      <w:r>
        <w:rPr/>
        <w:t>Apprécie la longueur de la tumeur quand elle est franchissable</w:t>
      </w:r>
    </w:p>
    <w:p>
      <w:pPr>
        <w:numPr>
          <w:ilvl w:val="1"/>
          <w:numId w:val="10"/>
        </w:numPr>
      </w:pPr>
      <w:r>
        <w:rPr/>
        <w:t>Permet l’examen gastro-duodénal complet</w:t>
      </w:r>
      <w:r>
        <w:rPr/>
        <w:br/>
      </w:r>
      <w:r>
        <w:rPr/>
        <w:br/>
        <w:t>Attention aux formes intra-épithéliales ou superficielles :</w:t>
      </w:r>
    </w:p>
    <w:p>
      <w:pPr>
        <w:numPr>
          <w:ilvl w:val="2"/>
          <w:numId w:val="10"/>
        </w:numPr>
      </w:pPr>
      <w:r>
        <w:rPr/>
        <w:t>Aspect verruqueux</w:t>
      </w:r>
    </w:p>
    <w:p>
      <w:pPr>
        <w:numPr>
          <w:ilvl w:val="2"/>
          <w:numId w:val="10"/>
        </w:numPr>
      </w:pPr>
      <w:r>
        <w:rPr/>
        <w:t>Zone érosive</w:t>
      </w:r>
    </w:p>
    <w:p>
      <w:pPr>
        <w:numPr>
          <w:ilvl w:val="2"/>
          <w:numId w:val="10"/>
        </w:numPr>
      </w:pPr>
      <w:r>
        <w:rPr/>
        <w:t xml:space="preserve">Plage </w:t>
      </w:r>
      <w:r>
        <w:rPr/>
        <w:t>dyschromique</w:t>
      </w:r>
    </w:p>
    <w:p>
      <w:pPr>
        <w:numPr>
          <w:ilvl w:val="2"/>
          <w:numId w:val="10"/>
        </w:numPr>
      </w:pPr>
      <w:r>
        <w:rPr/>
        <w:t>Oesophagite</w:t>
      </w:r>
      <w:r>
        <w:rPr/>
        <w:t xml:space="preserve"> suspendue</w:t>
      </w:r>
    </w:p>
    <w:p>
      <w:pPr>
        <w:numPr>
          <w:ilvl w:val="1"/>
          <w:numId w:val="10"/>
        </w:numPr>
      </w:pPr>
      <w:r>
        <w:drawing>
          <wp:inline xmlns:a="http://schemas.openxmlformats.org/drawingml/2006/main" xmlns:pic="http://schemas.openxmlformats.org/drawingml/2006/picture">
            <wp:extent cx="23037800" cy="17233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0" cy="172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Biopsies :</w:t>
      </w:r>
    </w:p>
    <w:p>
      <w:pPr>
        <w:numPr>
          <w:ilvl w:val="1"/>
          <w:numId w:val="10"/>
        </w:numPr>
      </w:pPr>
      <w:r>
        <w:rPr/>
        <w:t>Faites-en</w:t>
      </w:r>
      <w:r>
        <w:rPr/>
        <w:t xml:space="preserve"> plusieurs points</w:t>
      </w:r>
    </w:p>
    <w:p>
      <w:pPr>
        <w:numPr>
          <w:ilvl w:val="1"/>
          <w:numId w:val="10"/>
        </w:numPr>
      </w:pPr>
      <w:r>
        <w:rPr/>
        <w:t>Type histologique (épidermoïde+++ / glandulaire)</w:t>
      </w:r>
    </w:p>
    <w:p>
      <w:pPr>
        <w:numPr>
          <w:ilvl w:val="1"/>
          <w:numId w:val="10"/>
        </w:numPr>
      </w:pPr>
      <w:r>
        <w:rPr/>
        <w:t xml:space="preserve">Examen anapath permet d’avoir le </w:t>
      </w:r>
      <w:r>
        <w:rPr>
          <w:b/>
        </w:rPr>
        <w:t>degré de différenciation</w:t>
      </w:r>
      <w:r>
        <w:rPr>
          <w:b/>
        </w:rPr>
        <w:br/>
      </w:r>
    </w:p>
    <w:p>
      <w:pPr>
        <w:numPr>
          <w:ilvl w:val="1"/>
          <w:numId w:val="10"/>
        </w:numPr>
      </w:pPr>
      <w:r>
        <w:rPr/>
        <w:t>Elles peuvent être guidées par des colorants vitaux (bleu de Toluidine, Lugol) pour les lésions superficielles multifocales</w:t>
      </w:r>
    </w:p>
    <w:p>
      <w:pPr>
        <w:pStyle w:val="Heading3"/>
      </w:pPr>
      <w:r>
        <w:rPr/>
        <w:t xml:space="preserve">Transit </w:t>
      </w:r>
      <w:r>
        <w:rPr/>
        <w:t>œsophagien</w:t>
      </w:r>
    </w:p>
    <w:p>
      <w:pPr>
        <w:numPr>
          <w:ilvl w:val="1"/>
          <w:numId w:val="10"/>
        </w:numPr>
      </w:pPr>
      <w:r>
        <w:rPr/>
        <w:t>Intervient en complément de l’endoscopie pour situer la topographie de la lésion ou la hauteur tumorale si non franchissable</w:t>
      </w:r>
    </w:p>
    <w:p>
      <w:pPr>
        <w:numPr>
          <w:ilvl w:val="1"/>
          <w:numId w:val="10"/>
        </w:numPr>
      </w:pPr>
      <w:r>
        <w:rPr>
          <w:b/>
        </w:rPr>
        <w:t>Les signes d’une tumeur localement évoluée :</w:t>
      </w:r>
    </w:p>
    <w:p>
      <w:pPr>
        <w:numPr>
          <w:ilvl w:val="2"/>
          <w:numId w:val="10"/>
        </w:numPr>
      </w:pPr>
      <w:r>
        <w:rPr/>
        <w:t>Sténose désaxée avec angulation</w:t>
      </w:r>
    </w:p>
    <w:p>
      <w:pPr>
        <w:numPr>
          <w:ilvl w:val="2"/>
          <w:numId w:val="10"/>
        </w:numPr>
      </w:pPr>
      <w:r>
        <w:rPr/>
        <w:t>Lacune</w:t>
      </w:r>
    </w:p>
    <w:p>
      <w:pPr>
        <w:numPr>
          <w:ilvl w:val="2"/>
          <w:numId w:val="10"/>
        </w:numPr>
      </w:pPr>
      <w:r>
        <w:rPr/>
        <w:t>Image de niche</w:t>
      </w:r>
    </w:p>
    <w:p>
      <w:pPr>
        <w:numPr>
          <w:ilvl w:val="2"/>
          <w:numId w:val="10"/>
        </w:numPr>
      </w:pPr>
      <w:r>
        <w:rPr/>
        <w:t>Fistule médiastinale borgne ou en communication (</w:t>
      </w:r>
      <w:r>
        <w:rPr>
          <w:i/>
        </w:rPr>
        <w:t xml:space="preserve">fistule </w:t>
      </w:r>
      <w:r>
        <w:rPr>
          <w:i/>
        </w:rPr>
        <w:t>oeso</w:t>
      </w:r>
      <w:r>
        <w:rPr>
          <w:i/>
        </w:rPr>
        <w:t>-trachéale)</w:t>
      </w:r>
    </w:p>
    <w:p>
      <w:pPr>
        <w:pStyle w:val="Heading3"/>
      </w:pPr>
      <w:r>
        <w:rPr/>
        <w:t>EXAMENS D’EXTENSION</w:t>
      </w:r>
    </w:p>
    <w:p>
      <w:pPr>
        <w:ind w:firstLine="397"/>
      </w:pPr>
      <w:r>
        <w:rPr/>
        <w:t xml:space="preserve">Ils comportent des examens de base, qui peuvent être suffisants en cas de tumeur localement dépassée ou métastatique, et des examens (scanner, </w:t>
      </w:r>
      <w:r>
        <w:rPr/>
        <w:t>échoendoscopie</w:t>
      </w:r>
      <w:r>
        <w:rPr/>
        <w:t>) destinés à préciser le stade tumoral TNM en vue d’un traitement curatif</w:t>
      </w:r>
    </w:p>
    <w:p>
      <w:pPr/>
    </w:p>
    <w:p>
      <w:pPr>
        <w:pStyle w:val="Heading4"/>
      </w:pPr>
      <w:r>
        <w:rPr/>
        <w:t>Les examens de base :</w:t>
      </w:r>
    </w:p>
    <w:p>
      <w:pPr>
        <w:numPr>
          <w:ilvl w:val="0"/>
          <w:numId w:val="11"/>
        </w:numPr>
      </w:pPr>
      <w:r>
        <w:rPr/>
        <w:t>La radiographie pulmonaire</w:t>
      </w:r>
    </w:p>
    <w:p>
      <w:pPr>
        <w:numPr>
          <w:ilvl w:val="0"/>
          <w:numId w:val="11"/>
        </w:numPr>
      </w:pPr>
      <w:r>
        <w:rPr/>
        <w:t>L’examen ORL</w:t>
      </w:r>
    </w:p>
    <w:p>
      <w:pPr>
        <w:numPr>
          <w:ilvl w:val="0"/>
          <w:numId w:val="11"/>
        </w:numPr>
      </w:pPr>
      <w:r>
        <w:rPr/>
        <w:t>La fibroscopie trachéo-bronchique</w:t>
      </w:r>
    </w:p>
    <w:p>
      <w:pPr>
        <w:numPr>
          <w:ilvl w:val="0"/>
          <w:numId w:val="11"/>
        </w:numPr>
      </w:pPr>
      <w:r>
        <w:rPr/>
        <w:t>L’échographie abdominale</w:t>
      </w:r>
    </w:p>
    <w:p>
      <w:pPr>
        <w:numPr>
          <w:ilvl w:val="0"/>
          <w:numId w:val="11"/>
        </w:numPr>
      </w:pPr>
      <w:r>
        <w:rPr/>
        <w:t>L’échographie cervicale</w:t>
      </w:r>
    </w:p>
    <w:p>
      <w:pPr/>
    </w:p>
    <w:p>
      <w:pPr>
        <w:pStyle w:val="Heading4"/>
      </w:pPr>
      <w:r>
        <w:rPr/>
        <w:t>Examens complémentaires de classification</w:t>
      </w:r>
    </w:p>
    <w:p>
      <w:pPr>
        <w:numPr>
          <w:ilvl w:val="0"/>
          <w:numId w:val="12"/>
        </w:numPr>
      </w:pPr>
      <w:r>
        <w:rPr>
          <w:b/>
        </w:rPr>
        <w:t>TDM ou SCANNER</w:t>
      </w:r>
    </w:p>
    <w:p>
      <w:pPr>
        <w:numPr>
          <w:ilvl w:val="0"/>
          <w:numId w:val="12"/>
        </w:numPr>
      </w:pPr>
      <w:r>
        <w:rPr>
          <w:b/>
        </w:rPr>
        <w:t>L’</w:t>
      </w:r>
      <w:r>
        <w:rPr>
          <w:b/>
        </w:rPr>
        <w:t>échoendoscopie</w:t>
      </w:r>
      <w:r>
        <w:rPr>
          <w:b/>
        </w:rPr>
        <w:br/>
      </w:r>
      <w:r>
        <w:rPr>
          <w:b/>
        </w:rPr>
        <w:br/>
      </w:r>
      <w:r>
        <w:rPr/>
        <w:t>L’association des deux méthodes permet de définir une précision proche de 80% du stade TNM</w:t>
      </w:r>
    </w:p>
    <w:p>
      <w:pPr/>
    </w:p>
    <w:p>
      <w:pPr>
        <w:pStyle w:val="Heading2"/>
      </w:pPr>
      <w:r>
        <w:rPr/>
        <w:t>DIAGNOSTIC DIFFERENTIEL</w:t>
      </w:r>
    </w:p>
    <w:p>
      <w:pPr/>
      <w:r>
        <w:rPr/>
        <w:t>Les biopsies permettent le diagnostic dans 95% des cas</w:t>
      </w:r>
    </w:p>
    <w:p>
      <w:pPr>
        <w:numPr>
          <w:ilvl w:val="0"/>
          <w:numId w:val="14"/>
        </w:numPr>
      </w:pPr>
      <w:r>
        <w:rPr/>
        <w:t>Papillome</w:t>
      </w:r>
    </w:p>
    <w:p>
      <w:pPr>
        <w:numPr>
          <w:ilvl w:val="0"/>
          <w:numId w:val="14"/>
        </w:numPr>
      </w:pPr>
      <w:r>
        <w:rPr/>
        <w:t xml:space="preserve">Polype </w:t>
      </w:r>
      <w:r>
        <w:rPr/>
        <w:t>fibro</w:t>
      </w:r>
      <w:r>
        <w:rPr/>
        <w:t>-vasculaire</w:t>
      </w:r>
    </w:p>
    <w:p>
      <w:pPr>
        <w:numPr>
          <w:ilvl w:val="0"/>
          <w:numId w:val="14"/>
        </w:numPr>
      </w:pPr>
      <w:r>
        <w:rPr/>
        <w:t>Tumeur à cellules granuleuses</w:t>
      </w:r>
    </w:p>
    <w:p>
      <w:pPr>
        <w:numPr>
          <w:ilvl w:val="0"/>
          <w:numId w:val="14"/>
        </w:numPr>
      </w:pPr>
      <w:r>
        <w:rPr/>
        <w:t>Léiomyome</w:t>
      </w:r>
    </w:p>
    <w:p>
      <w:pPr/>
    </w:p>
    <w:p>
      <w:pPr/>
      <w:r>
        <w:rPr/>
        <w:t xml:space="preserve">Des difficultés peuvent persister en cas de sténose serrée en particulier au tiers inférieur (sténose peptique), ou en cas de dysplasie au sein d’une </w:t>
      </w:r>
      <w:r>
        <w:rPr/>
        <w:t>oesophagite</w:t>
      </w:r>
      <w:r>
        <w:rPr/>
        <w:t>. Dans ce cas, une répétition de l’examen est nécessaire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</w:t>
      </w:r>
    </w:p>
    <w:p>
      <w:pPr>
        <w:numPr>
          <w:ilvl w:val="1"/>
          <w:numId w:val="13"/>
        </w:numPr>
      </w:pPr>
      <w:r>
        <w:rPr>
          <w:b/>
        </w:rPr>
        <w:t xml:space="preserve">Les méthodes à visée curative </w:t>
      </w:r>
      <w:r>
        <w:rPr/>
        <w:t>sont réservées aux formes limitées de la maladie = Chirurgie (Stade I et II)</w:t>
      </w:r>
    </w:p>
    <w:p>
      <w:pPr>
        <w:numPr>
          <w:ilvl w:val="1"/>
          <w:numId w:val="13"/>
        </w:numPr>
      </w:pPr>
      <w:r>
        <w:rPr>
          <w:b/>
        </w:rPr>
        <w:t xml:space="preserve">Les méthodes à visée palliative </w:t>
      </w:r>
      <w:r>
        <w:rPr/>
        <w:t>concernent les tumeurs dépassées (Stade III et IV)</w:t>
      </w:r>
    </w:p>
    <w:p>
      <w:pPr>
        <w:numPr>
          <w:ilvl w:val="2"/>
          <w:numId w:val="13"/>
        </w:numPr>
      </w:pPr>
      <w:r>
        <w:rPr/>
        <w:t>Visent à restaurer le confort alimentaire : désobstruction endoscopique, endoprothèse</w:t>
      </w:r>
    </w:p>
    <w:p>
      <w:pPr>
        <w:numPr>
          <w:ilvl w:val="1"/>
          <w:numId w:val="13"/>
        </w:numPr>
      </w:pPr>
      <w:r>
        <w:rPr/>
        <w:t>Classification</w:t>
      </w:r>
    </w:p>
    <w:p>
      <w:pPr>
        <w:numPr>
          <w:ilvl w:val="2"/>
          <w:numId w:val="13"/>
        </w:numPr>
      </w:pPr>
      <w:r>
        <w:rPr/>
        <w:t>Stade I : strictement pariétal, muqueuse et sous-muqueuse</w:t>
      </w:r>
    </w:p>
    <w:p>
      <w:pPr>
        <w:numPr>
          <w:ilvl w:val="2"/>
          <w:numId w:val="13"/>
        </w:numPr>
      </w:pPr>
      <w:r>
        <w:rPr/>
        <w:t>Stade II : atteinte jusqu’à la musculeuse</w:t>
      </w:r>
    </w:p>
    <w:p>
      <w:pPr>
        <w:numPr>
          <w:ilvl w:val="2"/>
          <w:numId w:val="13"/>
        </w:numPr>
      </w:pPr>
      <w:r>
        <w:rPr/>
        <w:t>Stade III :  lésion avec envahissement des ganglions de voisinage ou atteinte de l’adventice ou au-delà</w:t>
      </w:r>
    </w:p>
    <w:p>
      <w:pPr>
        <w:numPr>
          <w:ilvl w:val="2"/>
          <w:numId w:val="13"/>
        </w:numPr>
      </w:pPr>
      <w:r>
        <w:rPr/>
        <w:t>Stade IV : cancer envahissant d’autre partie de l’organisme (</w:t>
      </w:r>
      <w:r>
        <w:rPr>
          <w:i/>
        </w:rPr>
        <w:t>métastatique)</w:t>
      </w:r>
    </w:p>
    <w:p>
      <w:pPr>
        <w:pStyle w:val="Heading3"/>
      </w:pPr>
      <w:r>
        <w:rPr/>
        <w:t>Moyens</w:t>
      </w:r>
    </w:p>
    <w:p>
      <w:pPr>
        <w:pStyle w:val="Heading4"/>
      </w:pPr>
      <w:r>
        <w:rPr/>
        <w:t xml:space="preserve">Traitement curatif = </w:t>
      </w:r>
      <w:r>
        <w:rPr/>
        <w:t>mucosectomie</w:t>
      </w:r>
    </w:p>
    <w:p>
      <w:pPr>
        <w:numPr>
          <w:ilvl w:val="2"/>
          <w:numId w:val="13"/>
        </w:numPr>
      </w:pPr>
      <w:r>
        <w:rPr>
          <w:b/>
        </w:rPr>
        <w:t>Indication :</w:t>
      </w:r>
      <w:r>
        <w:rPr>
          <w:b/>
        </w:rPr>
        <w:t xml:space="preserve"> </w:t>
      </w:r>
      <w:r>
        <w:rPr/>
        <w:t>cancer superficiel de l’</w:t>
      </w:r>
      <w:r>
        <w:rPr/>
        <w:t>œsophage</w:t>
      </w:r>
      <w:r>
        <w:rPr/>
        <w:t xml:space="preserve"> = envahissant la muqueuse ou la sous-muqueuse et respectant la couche musculaire</w:t>
      </w:r>
    </w:p>
    <w:p>
      <w:pPr>
        <w:pStyle w:val="Heading4"/>
      </w:pPr>
      <w:r>
        <w:rPr/>
        <w:t xml:space="preserve">Traitement curatif = </w:t>
      </w:r>
      <w:r>
        <w:rPr/>
        <w:t>chirurgie</w:t>
      </w:r>
    </w:p>
    <w:p>
      <w:pPr>
        <w:numPr>
          <w:ilvl w:val="2"/>
          <w:numId w:val="13"/>
        </w:numPr>
      </w:pPr>
      <w:r>
        <w:rPr/>
        <w:t xml:space="preserve">Seule la chirurgie a une prétention curative, seuls 20% peuvent en </w:t>
      </w:r>
      <w:r>
        <w:rPr/>
        <w:t>bénéficier (</w:t>
      </w:r>
      <w:r>
        <w:rPr/>
        <w:t>découverte tardive)</w:t>
      </w:r>
    </w:p>
    <w:p>
      <w:pPr>
        <w:numPr>
          <w:ilvl w:val="2"/>
          <w:numId w:val="13"/>
        </w:numPr>
      </w:pPr>
      <w:r>
        <w:rPr/>
        <w:t>Résection = abord combiné abdominal et thoracique (</w:t>
      </w:r>
      <w:r>
        <w:rPr>
          <w:i/>
        </w:rPr>
        <w:t>remplacer l’</w:t>
      </w:r>
      <w:r>
        <w:rPr>
          <w:i/>
        </w:rPr>
        <w:t>œsophage</w:t>
      </w:r>
      <w:r>
        <w:rPr>
          <w:i/>
        </w:rPr>
        <w:t xml:space="preserve"> enlevé/ colon, estomac </w:t>
      </w:r>
      <w:r>
        <w:rPr>
          <w:i/>
        </w:rPr>
        <w:t>tubulisé</w:t>
      </w:r>
      <w:r>
        <w:rPr>
          <w:i/>
        </w:rPr>
        <w:t>)</w:t>
      </w:r>
    </w:p>
    <w:p>
      <w:pPr>
        <w:numPr>
          <w:ilvl w:val="2"/>
          <w:numId w:val="13"/>
        </w:numPr>
      </w:pPr>
      <w:r>
        <w:rPr/>
        <w:t>Elle consiste en</w:t>
      </w:r>
    </w:p>
    <w:p>
      <w:pPr>
        <w:numPr>
          <w:ilvl w:val="3"/>
          <w:numId w:val="13"/>
        </w:numPr>
      </w:pPr>
      <w:r>
        <w:rPr/>
        <w:t xml:space="preserve">Une </w:t>
      </w:r>
      <w:r>
        <w:rPr/>
        <w:t>oesophagectomie</w:t>
      </w:r>
      <w:r>
        <w:rPr/>
        <w:t xml:space="preserve"> passant à 5 cm au-dessus de la tumeur</w:t>
      </w:r>
    </w:p>
    <w:p>
      <w:pPr>
        <w:numPr>
          <w:ilvl w:val="3"/>
          <w:numId w:val="13"/>
        </w:numPr>
      </w:pPr>
      <w:r>
        <w:rPr/>
        <w:t>Un curage lymphatique</w:t>
      </w:r>
    </w:p>
    <w:p>
      <w:pPr>
        <w:numPr>
          <w:ilvl w:val="3"/>
          <w:numId w:val="13"/>
        </w:numPr>
      </w:pPr>
      <w:r>
        <w:rPr/>
        <w:t xml:space="preserve">Un rétablissement de la continuité digestive par gastroplastie ou par </w:t>
      </w:r>
      <w:r>
        <w:rPr/>
        <w:t>oeso-coloplastie</w:t>
      </w:r>
    </w:p>
    <w:p>
      <w:pPr>
        <w:pStyle w:val="Heading4"/>
      </w:pPr>
      <w:r>
        <w:rPr/>
        <w:t>Intervention de LEWIS</w:t>
      </w:r>
    </w:p>
    <w:p>
      <w:pPr>
        <w:numPr>
          <w:ilvl w:val="2"/>
          <w:numId w:val="13"/>
        </w:numPr>
      </w:pPr>
      <w:r>
        <w:rPr/>
        <w:t>Laparotomie première pour explorer la cavité péritonéale et préparer le tube gastrique (</w:t>
      </w:r>
      <w:r>
        <w:rPr>
          <w:i/>
        </w:rPr>
        <w:t>tubuliser</w:t>
      </w:r>
      <w:r>
        <w:rPr>
          <w:i/>
        </w:rPr>
        <w:t>)</w:t>
      </w:r>
    </w:p>
    <w:p>
      <w:pPr>
        <w:numPr>
          <w:ilvl w:val="2"/>
          <w:numId w:val="13"/>
        </w:numPr>
      </w:pPr>
      <w:r>
        <w:rPr>
          <w:i/>
        </w:rPr>
        <w:t xml:space="preserve">+ </w:t>
      </w:r>
      <w:r>
        <w:rPr/>
        <w:t>thoracotomie droite pour l’</w:t>
      </w:r>
      <w:r>
        <w:rPr/>
        <w:t>oesophagectomie</w:t>
      </w:r>
    </w:p>
    <w:p>
      <w:pPr>
        <w:numPr>
          <w:ilvl w:val="2"/>
          <w:numId w:val="13"/>
        </w:numPr>
      </w:pPr>
      <w:r>
        <w:rPr/>
        <w:t xml:space="preserve">+ anastomose </w:t>
      </w:r>
      <w:r>
        <w:rPr/>
        <w:t>oeso</w:t>
      </w:r>
      <w:r>
        <w:rPr/>
        <w:t>-gastrique à la main ou à l’agrafeuse anastomotique</w:t>
      </w:r>
    </w:p>
    <w:p>
      <w:pPr>
        <w:numPr>
          <w:ilvl w:val="2"/>
          <w:numId w:val="13"/>
        </w:numPr>
      </w:pPr>
      <w:r>
        <w:rPr/>
        <w:t xml:space="preserve">+ </w:t>
      </w:r>
      <w:r>
        <w:rPr/>
        <w:t>Pyloroplastie</w:t>
      </w:r>
      <w:r>
        <w:rPr/>
        <w:t xml:space="preserve"> doit suivre cette intervention (</w:t>
      </w:r>
      <w:r>
        <w:rPr>
          <w:i/>
        </w:rPr>
        <w:t>car X coupé lorsqu’on enlève l’</w:t>
      </w:r>
      <w:r>
        <w:rPr>
          <w:i/>
        </w:rPr>
        <w:t>oesophage</w:t>
      </w:r>
      <w:r>
        <w:rPr>
          <w:i/>
        </w:rPr>
        <w:t>)</w:t>
      </w:r>
      <w:r>
        <w:rPr/>
        <w:br/>
      </w:r>
    </w:p>
    <w:p>
      <w:pPr>
        <w:pStyle w:val="Heading4"/>
      </w:pPr>
      <w:r>
        <w:rPr/>
        <w:t>Opération de SWEET (rarement réalisée)</w:t>
      </w:r>
    </w:p>
    <w:p>
      <w:pPr>
        <w:numPr>
          <w:ilvl w:val="2"/>
          <w:numId w:val="13"/>
        </w:numPr>
      </w:pPr>
      <w:r>
        <w:rPr/>
        <w:t>Réalisée par thoracotomie gauche en utilisant la même préparation qu’avant</w:t>
      </w:r>
    </w:p>
    <w:p>
      <w:pPr>
        <w:pStyle w:val="Heading4"/>
      </w:pPr>
      <w:r>
        <w:rPr/>
        <w:t>Opération d’AKIYAMA</w:t>
      </w:r>
    </w:p>
    <w:p>
      <w:pPr>
        <w:numPr>
          <w:ilvl w:val="2"/>
          <w:numId w:val="13"/>
        </w:numPr>
      </w:pPr>
      <w:r>
        <w:rPr/>
        <w:t>Thoracotomie pour s’assurer l’</w:t>
      </w:r>
      <w:r>
        <w:rPr/>
        <w:t>extirpabilité</w:t>
      </w:r>
      <w:r>
        <w:rPr/>
        <w:t xml:space="preserve"> de la lésion</w:t>
      </w:r>
    </w:p>
    <w:p>
      <w:pPr>
        <w:numPr>
          <w:ilvl w:val="2"/>
          <w:numId w:val="13"/>
        </w:numPr>
      </w:pPr>
      <w:r>
        <w:rPr/>
        <w:t>+ laparotomie pour la confection du tube gastrique</w:t>
      </w:r>
    </w:p>
    <w:p>
      <w:pPr>
        <w:numPr>
          <w:ilvl w:val="2"/>
          <w:numId w:val="13"/>
        </w:numPr>
      </w:pPr>
      <w:r>
        <w:rPr/>
        <w:t xml:space="preserve">+ Incision cervicale pour l’anastomose </w:t>
      </w:r>
      <w:r>
        <w:rPr/>
        <w:t>oeso</w:t>
      </w:r>
      <w:r>
        <w:rPr/>
        <w:t>-gastrique</w:t>
      </w:r>
      <w:r>
        <w:rPr/>
        <w:br/>
      </w:r>
    </w:p>
    <w:p>
      <w:pPr>
        <w:pStyle w:val="Heading4"/>
      </w:pPr>
      <w:r>
        <w:rPr/>
        <w:t>Indication du niveau d’anastomose</w:t>
      </w:r>
    </w:p>
    <w:p>
      <w:pPr>
        <w:numPr>
          <w:ilvl w:val="2"/>
          <w:numId w:val="13"/>
        </w:numPr>
      </w:pPr>
      <w:r>
        <w:rPr/>
        <w:t xml:space="preserve">Anastomose </w:t>
      </w:r>
      <w:r>
        <w:rPr/>
        <w:t>intra-thoracique</w:t>
      </w:r>
      <w:r>
        <w:rPr/>
        <w:t xml:space="preserve"> pour les tumeurs infra-aortiques</w:t>
      </w:r>
    </w:p>
    <w:p>
      <w:pPr>
        <w:numPr>
          <w:ilvl w:val="2"/>
          <w:numId w:val="13"/>
        </w:numPr>
      </w:pPr>
      <w:r>
        <w:rPr/>
        <w:t>Anastomose cervicale pour les tumeurs sus-aortique et cervicale</w:t>
      </w:r>
      <w:r>
        <w:rPr/>
        <w:br/>
      </w:r>
    </w:p>
    <w:p>
      <w:pPr>
        <w:numPr>
          <w:ilvl w:val="1"/>
          <w:numId w:val="13"/>
        </w:numPr>
      </w:pPr>
      <w:r>
        <w:rPr>
          <w:i/>
        </w:rPr>
        <w:t xml:space="preserve">Possible : laparotomie + </w:t>
      </w:r>
      <w:r>
        <w:rPr>
          <w:i/>
        </w:rPr>
        <w:t>cervicotomie</w:t>
      </w:r>
      <w:r>
        <w:rPr>
          <w:i/>
        </w:rPr>
        <w:t xml:space="preserve"> sans thoracotomie</w:t>
      </w:r>
    </w:p>
    <w:p>
      <w:pPr/>
    </w:p>
    <w:p>
      <w:pPr/>
      <w:r>
        <w:rPr>
          <w:b/>
        </w:rPr>
        <w:t xml:space="preserve">Traitement palliatif : </w:t>
      </w:r>
      <w:r>
        <w:rPr/>
        <w:t>vise à améliorer le temps à vivre pour le malade</w:t>
      </w:r>
    </w:p>
    <w:p>
      <w:pPr>
        <w:numPr>
          <w:ilvl w:val="0"/>
          <w:numId w:val="15"/>
        </w:numPr>
      </w:pPr>
      <w:r>
        <w:rPr/>
        <w:t>Rétablissement de l’état nutritionnel</w:t>
      </w:r>
    </w:p>
    <w:p>
      <w:pPr>
        <w:numPr>
          <w:ilvl w:val="0"/>
          <w:numId w:val="15"/>
        </w:numPr>
      </w:pPr>
      <w:r>
        <w:rPr/>
        <w:t>Amélioration de la qualité de vie</w:t>
      </w:r>
    </w:p>
    <w:p>
      <w:pPr/>
      <w:r>
        <w:rPr/>
        <w:t>5 méthodes :</w:t>
      </w:r>
    </w:p>
    <w:p>
      <w:pPr>
        <w:pStyle w:val="Heading3"/>
      </w:pPr>
      <w:r>
        <w:rPr/>
        <w:t xml:space="preserve">Chirurgie : </w:t>
      </w:r>
    </w:p>
    <w:p>
      <w:pPr>
        <w:numPr>
          <w:ilvl w:val="1"/>
          <w:numId w:val="16"/>
        </w:numPr>
      </w:pPr>
      <w:r>
        <w:rPr/>
        <w:t>gastrotomie</w:t>
      </w:r>
      <w:r>
        <w:rPr/>
        <w:t xml:space="preserve"> d’alimentation : en dernier recours</w:t>
      </w:r>
    </w:p>
    <w:p>
      <w:pPr>
        <w:numPr>
          <w:ilvl w:val="1"/>
          <w:numId w:val="16"/>
        </w:numPr>
      </w:pPr>
      <w:r>
        <w:rPr/>
        <w:t>Oesogastroplastie</w:t>
      </w:r>
      <w:r>
        <w:rPr/>
        <w:t xml:space="preserve"> palliative</w:t>
      </w:r>
    </w:p>
    <w:p>
      <w:pPr>
        <w:numPr>
          <w:ilvl w:val="1"/>
          <w:numId w:val="16"/>
        </w:numPr>
      </w:pPr>
      <w:r>
        <w:rPr/>
        <w:t>Oesocoloplastie</w:t>
      </w:r>
      <w:r>
        <w:rPr/>
        <w:t xml:space="preserve"> </w:t>
      </w:r>
    </w:p>
    <w:p>
      <w:pPr>
        <w:numPr>
          <w:ilvl w:val="0"/>
          <w:numId w:val="16"/>
        </w:numPr>
      </w:pPr>
      <w:r>
        <w:rPr>
          <w:b/>
        </w:rPr>
        <w:t xml:space="preserve">Intubation endoscopique : </w:t>
      </w:r>
      <w:r>
        <w:rPr/>
        <w:t xml:space="preserve">tube rigide après dilatation de la tumeur </w:t>
      </w:r>
      <w:r>
        <w:rPr>
          <w:i/>
        </w:rPr>
        <w:t>pour permettre la descente de l’aliment</w:t>
      </w:r>
    </w:p>
    <w:p>
      <w:pPr>
        <w:numPr>
          <w:ilvl w:val="0"/>
          <w:numId w:val="16"/>
        </w:numPr>
      </w:pPr>
      <w:r>
        <w:rPr>
          <w:b/>
        </w:rPr>
        <w:t>Radiothérapie :</w:t>
      </w:r>
      <w:r>
        <w:rPr/>
        <w:t xml:space="preserve"> le cancer épidermoïde est radiosensible, théoriquement </w:t>
      </w:r>
      <w:r>
        <w:rPr/>
        <w:t>radiocurable</w:t>
      </w:r>
    </w:p>
    <w:p>
      <w:pPr>
        <w:numPr>
          <w:ilvl w:val="0"/>
          <w:numId w:val="16"/>
        </w:numPr>
      </w:pPr>
      <w:r>
        <w:rPr>
          <w:b/>
        </w:rPr>
        <w:t>Chimiothérapie</w:t>
      </w:r>
    </w:p>
    <w:p>
      <w:pPr>
        <w:numPr>
          <w:ilvl w:val="0"/>
          <w:numId w:val="16"/>
        </w:numPr>
      </w:pPr>
      <w:r>
        <w:rPr>
          <w:b/>
        </w:rPr>
        <w:t>Radio chimiothérapie</w:t>
      </w:r>
    </w:p>
    <w:p>
      <w:pPr/>
    </w:p>
    <w:p>
      <w:pPr/>
      <w:r>
        <w:rPr>
          <w:b/>
        </w:rPr>
        <w:t>RESULTAT</w:t>
      </w:r>
    </w:p>
    <w:p>
      <w:pPr/>
      <w:r>
        <w:rPr/>
        <w:t>Le pronostic est médiocre :</w:t>
      </w:r>
    </w:p>
    <w:p>
      <w:pPr>
        <w:numPr>
          <w:ilvl w:val="0"/>
          <w:numId w:val="17"/>
        </w:numPr>
      </w:pPr>
      <w:r>
        <w:rPr/>
        <w:t>30 à 35 % à 5 ans dans les formes curables</w:t>
      </w:r>
    </w:p>
    <w:p>
      <w:pPr>
        <w:numPr>
          <w:ilvl w:val="0"/>
          <w:numId w:val="17"/>
        </w:numPr>
      </w:pPr>
      <w:r>
        <w:rPr/>
        <w:t xml:space="preserve">10% pour l’ensemble de la population </w:t>
      </w:r>
      <w:r>
        <w:rPr>
          <w:i/>
        </w:rPr>
        <w:t>(qui ont eu un cancer de l’</w:t>
      </w:r>
      <w:r>
        <w:rPr>
          <w:i/>
        </w:rPr>
        <w:t>oesophage</w:t>
      </w:r>
      <w:r>
        <w:rPr>
          <w:i/>
        </w:rPr>
        <w:t>)</w:t>
      </w:r>
    </w:p>
    <w:p>
      <w:pPr/>
      <w:r>
        <w:rPr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