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CANCER SECONDAIRE DU FOIE</w:t>
      </w:r>
      <w:r>
        <w:rPr/>
        <w:t xml:space="preserve"> </w:t>
      </w:r>
    </w:p>
    <w:p>
      <w:pPr>
        <w:pStyle w:val="Heading2"/>
      </w:pPr>
      <w:r>
        <w:rPr/>
        <w:t>DEFINITION</w:t>
      </w:r>
    </w:p>
    <w:p>
      <w:pPr>
        <w:numPr>
          <w:ilvl w:val="0"/>
          <w:numId w:val="66"/>
        </w:numPr>
      </w:pPr>
      <w:r>
        <w:rPr/>
        <w:t>Fixation au niveau du foie de cellules cancéreuses issues d’une autre localisation = métastases</w:t>
      </w:r>
    </w:p>
    <w:p>
      <w:pPr/>
    </w:p>
    <w:p>
      <w:pPr>
        <w:pStyle w:val="Heading2"/>
      </w:pPr>
      <w:r>
        <w:rPr/>
        <w:t>ORIGINE DU CANCER</w:t>
      </w:r>
      <w:r>
        <w:rPr/>
        <w:t xml:space="preserve"> </w:t>
      </w:r>
    </w:p>
    <w:p>
      <w:pPr>
        <w:numPr>
          <w:ilvl w:val="0"/>
          <w:numId w:val="67"/>
        </w:numPr>
      </w:pPr>
      <w:r>
        <w:rPr>
          <w:b/>
        </w:rPr>
        <w:t xml:space="preserve">Tumeurs digestives +++ </w:t>
      </w:r>
      <w:r>
        <w:rPr>
          <w:b/>
          <w:u w:val="single"/>
        </w:rPr>
        <w:t>(côlon, estomac, pancréas)</w:t>
      </w:r>
    </w:p>
    <w:p>
      <w:pPr>
        <w:numPr>
          <w:ilvl w:val="0"/>
          <w:numId w:val="67"/>
        </w:numPr>
      </w:pPr>
      <w:r>
        <w:rPr/>
        <w:t>Poumons, reins, ovaires, seins</w:t>
      </w:r>
    </w:p>
    <w:p>
      <w:pPr/>
    </w:p>
    <w:p>
      <w:pPr>
        <w:pStyle w:val="Heading2"/>
      </w:pPr>
      <w:r>
        <w:rPr/>
        <w:t>SIGNES</w:t>
      </w:r>
    </w:p>
    <w:p>
      <w:pPr/>
      <w:r>
        <w:rPr>
          <w:i/>
        </w:rPr>
        <w:t>Dépendent surtout du cancer primitif</w:t>
      </w:r>
    </w:p>
    <w:p>
      <w:pPr>
        <w:numPr>
          <w:ilvl w:val="0"/>
          <w:numId w:val="68"/>
        </w:numPr>
      </w:pPr>
      <w:r>
        <w:rPr/>
        <w:t>Douleur de l’hypochondre droit</w:t>
      </w:r>
    </w:p>
    <w:p>
      <w:pPr>
        <w:numPr>
          <w:ilvl w:val="0"/>
          <w:numId w:val="68"/>
        </w:numPr>
      </w:pPr>
      <w:r>
        <w:rPr/>
        <w:t>Fièvre</w:t>
      </w:r>
    </w:p>
    <w:p>
      <w:pPr>
        <w:numPr>
          <w:ilvl w:val="0"/>
          <w:numId w:val="68"/>
        </w:numPr>
      </w:pPr>
      <w:r>
        <w:rPr/>
        <w:t>Altération de l’état général (amaigrissement, perte d’appétit, fatigue)</w:t>
      </w:r>
    </w:p>
    <w:p>
      <w:pPr>
        <w:numPr>
          <w:ilvl w:val="0"/>
          <w:numId w:val="68"/>
        </w:numPr>
      </w:pPr>
      <w:r>
        <w:rPr/>
        <w:t>Ictère</w:t>
      </w:r>
    </w:p>
    <w:p>
      <w:pPr>
        <w:numPr>
          <w:ilvl w:val="0"/>
          <w:numId w:val="68"/>
        </w:numPr>
      </w:pPr>
      <w:r>
        <w:rPr/>
        <w:t>Examen physique : des foies, gros nodules palpables au niveau du foie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69"/>
        </w:numPr>
      </w:pPr>
      <w:r>
        <w:rPr>
          <w:b/>
        </w:rPr>
        <w:t>Métastase unique = résection chirurgicale</w:t>
      </w:r>
    </w:p>
    <w:p>
      <w:pPr>
        <w:numPr>
          <w:ilvl w:val="0"/>
          <w:numId w:val="69"/>
        </w:numPr>
      </w:pPr>
      <w:r>
        <w:rPr>
          <w:b/>
        </w:rPr>
        <w:t xml:space="preserve">Lymphomes </w:t>
      </w:r>
      <w:r>
        <w:rPr/>
        <w:t xml:space="preserve">ou </w:t>
      </w:r>
      <w:r>
        <w:rPr>
          <w:b/>
        </w:rPr>
        <w:t xml:space="preserve">tumeurs embryonnaires </w:t>
      </w:r>
    </w:p>
    <w:p>
      <w:pPr>
        <w:numPr>
          <w:ilvl w:val="1"/>
          <w:numId w:val="69"/>
        </w:numPr>
      </w:pPr>
      <w:r>
        <w:rPr/>
        <w:t>La chimiothérapie est efficace et allonge la durée de vie</w:t>
      </w:r>
    </w:p>
    <w:p>
      <w:pPr>
        <w:numPr>
          <w:ilvl w:val="0"/>
          <w:numId w:val="69"/>
        </w:numPr>
      </w:pPr>
      <w:r>
        <w:rPr>
          <w:b/>
        </w:rPr>
        <w:t xml:space="preserve">Antalgique : </w:t>
      </w:r>
      <w:r>
        <w:rPr/>
        <w:t>la radiothérapie peut être un moyen efficace pour soulager la douleur (radiothérapie à but antalgique)</w:t>
      </w:r>
    </w:p>
    <w:p>
      <w:pPr/>
      <w:r>
        <w:drawing>
          <wp:inline xmlns:a="http://schemas.openxmlformats.org/drawingml/2006/main" xmlns:pic="http://schemas.openxmlformats.org/drawingml/2006/picture">
            <wp:extent cx="21374100" cy="1598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0" cy="1598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