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CHOLECYSTITE AIGUE</w:t>
      </w:r>
    </w:p>
    <w:p>
      <w:pPr>
        <w:pStyle w:val="Heading2"/>
      </w:pPr>
      <w:r>
        <w:rPr/>
        <w:t>DEFINITION ET EPIDEMIOLOGIE</w:t>
      </w:r>
    </w:p>
    <w:p>
      <w:pPr>
        <w:numPr>
          <w:ilvl w:val="0"/>
          <w:numId w:val="25"/>
        </w:numPr>
      </w:pPr>
      <w:r>
        <w:rPr/>
        <w:t>Elle est définie comme une inflammation aiguë de la paroi vésiculaire</w:t>
      </w:r>
    </w:p>
    <w:p>
      <w:pPr>
        <w:numPr>
          <w:ilvl w:val="1"/>
          <w:numId w:val="25"/>
        </w:numPr>
      </w:pPr>
      <w:r>
        <w:rPr/>
        <w:t>En relation avec une lithiase dans plus de 90%</w:t>
      </w:r>
    </w:p>
    <w:p>
      <w:pPr>
        <w:numPr>
          <w:ilvl w:val="1"/>
          <w:numId w:val="25"/>
        </w:numPr>
      </w:pPr>
      <w:r>
        <w:rPr/>
        <w:t>Représente une des indications habituelles de la chirurgie (1,5 à 20%)</w:t>
      </w:r>
    </w:p>
    <w:p>
      <w:pPr/>
    </w:p>
    <w:p>
      <w:pPr>
        <w:pStyle w:val="Heading2"/>
      </w:pPr>
      <w:r>
        <w:rPr/>
        <w:t>PHYSIOPATHOLOGIE ET ANATOMIE PATHOLOGIQUE</w:t>
      </w:r>
    </w:p>
    <w:p>
      <w:pPr>
        <w:numPr>
          <w:ilvl w:val="0"/>
          <w:numId w:val="26"/>
        </w:numPr>
      </w:pPr>
      <w:r>
        <w:rPr/>
        <w:t xml:space="preserve">Inflammation secondaire à </w:t>
      </w:r>
      <w:r>
        <w:rPr>
          <w:b/>
        </w:rPr>
        <w:t xml:space="preserve">l’obstruction du canal cystique par un calcul au niveau du canal cystique ou par réaction </w:t>
      </w:r>
      <w:r>
        <w:rPr>
          <w:b/>
        </w:rPr>
        <w:t>oedémateuse</w:t>
      </w:r>
      <w:r>
        <w:rPr>
          <w:b/>
        </w:rPr>
        <w:t xml:space="preserve"> </w:t>
      </w:r>
      <w:r>
        <w:rPr/>
        <w:t xml:space="preserve">suite au passage d’un calcul au niveau du canal </w:t>
      </w:r>
      <w:r>
        <w:rPr/>
        <w:t>cystique</w:t>
      </w:r>
      <w:r>
        <w:rPr/>
      </w:r>
      <w:r>
        <w:rPr/>
        <w:t xml:space="preserve"> </w:t>
      </w:r>
    </w:p>
    <w:p>
      <w:pPr>
        <w:numPr>
          <w:ilvl w:val="0"/>
          <w:numId w:val="26"/>
        </w:numPr>
      </w:pPr>
      <w:r>
        <w:rPr/>
        <w:t>Le facteur infectieux est peu important au début : 25% des cultures positives dans les premiers jours, 50-80% des cas après 8 jours</w:t>
      </w:r>
      <w:r>
        <w:rPr/>
        <w:br/>
      </w:r>
    </w:p>
    <w:p>
      <w:pPr>
        <w:numPr>
          <w:ilvl w:val="0"/>
          <w:numId w:val="26"/>
        </w:numPr>
      </w:pPr>
      <w:r>
        <w:rPr/>
        <w:t>L’atteinte anatomique est variable : (</w:t>
      </w:r>
      <w:r>
        <w:rPr>
          <w:i/>
        </w:rPr>
        <w:t xml:space="preserve">selon l’évolution de la pullulation microbienne) </w:t>
      </w:r>
    </w:p>
    <w:p>
      <w:pPr>
        <w:numPr>
          <w:ilvl w:val="1"/>
          <w:numId w:val="26"/>
        </w:numPr>
      </w:pPr>
      <w:r>
        <w:rPr>
          <w:b/>
        </w:rPr>
        <w:t>Cholecystite</w:t>
      </w:r>
      <w:r>
        <w:rPr>
          <w:b/>
        </w:rPr>
        <w:t xml:space="preserve"> catarrhale</w:t>
      </w:r>
    </w:p>
    <w:p>
      <w:pPr>
        <w:numPr>
          <w:ilvl w:val="1"/>
          <w:numId w:val="26"/>
        </w:numPr>
      </w:pPr>
      <w:r>
        <w:rPr>
          <w:b/>
        </w:rPr>
        <w:t>Cholecystite</w:t>
      </w:r>
      <w:r>
        <w:rPr>
          <w:b/>
        </w:rPr>
        <w:t xml:space="preserve"> suppurée</w:t>
      </w:r>
    </w:p>
    <w:p>
      <w:pPr>
        <w:numPr>
          <w:ilvl w:val="1"/>
          <w:numId w:val="26"/>
        </w:numPr>
      </w:pPr>
      <w:r>
        <w:rPr>
          <w:b/>
        </w:rPr>
        <w:t>Cholecystite</w:t>
      </w:r>
      <w:r>
        <w:rPr>
          <w:b/>
        </w:rPr>
        <w:t xml:space="preserve"> </w:t>
      </w:r>
      <w:r>
        <w:rPr>
          <w:b/>
        </w:rPr>
        <w:t>gangréneuse</w:t>
      </w:r>
      <w:r>
        <w:rPr/>
      </w:r>
    </w:p>
    <w:p>
      <w:pPr/>
    </w:p>
    <w:p>
      <w:pPr>
        <w:pStyle w:val="Heading2"/>
      </w:pPr>
      <w:r>
        <w:rPr/>
        <w:t>CLINIQUE</w:t>
      </w:r>
    </w:p>
    <w:p>
      <w:pPr/>
      <w:r>
        <w:rPr/>
        <w:t xml:space="preserve">(A </w:t>
      </w:r>
      <w:r>
        <w:rPr/>
        <w:t>L’EXAMEN )</w:t>
      </w:r>
    </w:p>
    <w:p>
      <w:pPr>
        <w:pStyle w:val="Heading3"/>
      </w:pPr>
      <w:r>
        <w:rPr/>
        <w:t>DIAGNOSTIC POSITIF</w:t>
      </w:r>
    </w:p>
    <w:p>
      <w:pPr/>
      <w:r>
        <w:rPr>
          <w:i/>
        </w:rPr>
        <w:t>DIAGNOSTIC POSITIF = données de l’anamnèse + clinique + paraclinique</w:t>
      </w:r>
    </w:p>
    <w:p>
      <w:pPr>
        <w:pStyle w:val="Heading4"/>
      </w:pPr>
      <w:r>
        <w:rPr/>
        <w:t>Forme typique</w:t>
      </w:r>
      <w:r>
        <w:rPr>
          <w:rFonts w:ascii="Arial" w:hAnsi="Arial"/>
          <w:color w:val="000000"/>
        </w:rPr>
      </w:r>
    </w:p>
    <w:p>
      <w:pPr/>
      <w:r>
        <w:rPr/>
        <w:t xml:space="preserve">Anamnèse : </w:t>
      </w:r>
      <w:r>
        <w:rPr/>
        <w:t>cf</w:t>
      </w:r>
      <w:r>
        <w:rPr/>
        <w:t xml:space="preserve"> lithiase biliaire</w:t>
      </w:r>
    </w:p>
    <w:p>
      <w:pPr>
        <w:numPr>
          <w:ilvl w:val="0"/>
          <w:numId w:val="27"/>
        </w:numPr>
      </w:pPr>
      <w:r>
        <w:rPr/>
        <w:t>Caractéristique et pose peu de problème</w:t>
      </w:r>
    </w:p>
    <w:p>
      <w:pPr>
        <w:numPr>
          <w:ilvl w:val="0"/>
          <w:numId w:val="27"/>
        </w:numPr>
      </w:pPr>
      <w:r>
        <w:rPr/>
        <w:t>Crise typique = début brutal</w:t>
      </w:r>
    </w:p>
    <w:p>
      <w:pPr>
        <w:numPr>
          <w:ilvl w:val="1"/>
          <w:numId w:val="27"/>
        </w:numPr>
      </w:pPr>
      <w:r>
        <w:rPr/>
        <w:t>Douleur de l’hypocondre droit = colique hépatique avec inhibition respiratoire</w:t>
      </w:r>
    </w:p>
    <w:p>
      <w:pPr>
        <w:numPr>
          <w:ilvl w:val="1"/>
          <w:numId w:val="27"/>
        </w:numPr>
      </w:pPr>
      <w:r>
        <w:rPr/>
        <w:t>Signes associés : nausées et vomissements</w:t>
      </w:r>
    </w:p>
    <w:p>
      <w:pPr>
        <w:numPr>
          <w:ilvl w:val="1"/>
          <w:numId w:val="27"/>
        </w:numPr>
      </w:pPr>
      <w:r>
        <w:rPr/>
        <w:t>Fièvre à 38 à 39°</w:t>
      </w:r>
    </w:p>
    <w:p>
      <w:pPr>
        <w:numPr>
          <w:ilvl w:val="1"/>
          <w:numId w:val="27"/>
        </w:numPr>
      </w:pPr>
      <w:r>
        <w:rPr/>
        <w:t>Tachycardie en rapport avec la fièvre</w:t>
      </w:r>
    </w:p>
    <w:p>
      <w:pPr>
        <w:pStyle w:val="Heading5"/>
      </w:pPr>
      <w:r>
        <w:rPr/>
        <w:t>A l’examen physique :</w:t>
      </w:r>
    </w:p>
    <w:p>
      <w:pPr>
        <w:numPr>
          <w:ilvl w:val="1"/>
          <w:numId w:val="27"/>
        </w:numPr>
      </w:pPr>
      <w:r>
        <w:rPr/>
        <w:t>Défense sous-costale droite</w:t>
      </w:r>
    </w:p>
    <w:p>
      <w:pPr>
        <w:numPr>
          <w:ilvl w:val="1"/>
          <w:numId w:val="27"/>
        </w:numPr>
      </w:pPr>
      <w:r>
        <w:rPr/>
        <w:t>Cette défense empêche de palper la grosse vésicule</w:t>
      </w:r>
    </w:p>
    <w:p>
      <w:pPr>
        <w:numPr>
          <w:ilvl w:val="1"/>
          <w:numId w:val="27"/>
        </w:numPr>
      </w:pPr>
      <w:r>
        <w:rPr/>
        <w:t>Reste de l’abdomen souple et indolore</w:t>
      </w:r>
    </w:p>
    <w:p>
      <w:pPr>
        <w:numPr>
          <w:ilvl w:val="1"/>
          <w:numId w:val="27"/>
        </w:numPr>
      </w:pPr>
      <w:r>
        <w:rPr/>
        <w:t>Signe de Murphy positif</w:t>
      </w:r>
    </w:p>
    <w:p>
      <w:pPr>
        <w:numPr>
          <w:ilvl w:val="0"/>
          <w:numId w:val="27"/>
        </w:numPr>
      </w:pPr>
      <w:r>
        <w:rPr/>
        <w:t>L’état général est bien conservé</w:t>
      </w:r>
    </w:p>
    <w:p>
      <w:pPr>
        <w:pStyle w:val="Heading5"/>
      </w:pPr>
      <w:r>
        <w:rPr/>
        <w:t>Examens complémentaires :</w:t>
      </w:r>
    </w:p>
    <w:p>
      <w:pPr>
        <w:numPr>
          <w:ilvl w:val="1"/>
          <w:numId w:val="27"/>
        </w:numPr>
      </w:pPr>
      <w:r>
        <w:rPr>
          <w:b/>
        </w:rPr>
        <w:t xml:space="preserve">Les examens biologiques </w:t>
      </w:r>
      <w:r>
        <w:rPr/>
        <w:t xml:space="preserve">qui montrent une </w:t>
      </w:r>
    </w:p>
    <w:p>
      <w:pPr>
        <w:numPr>
          <w:ilvl w:val="2"/>
          <w:numId w:val="27"/>
        </w:numPr>
      </w:pPr>
      <w:r>
        <w:rPr/>
        <w:t>Hyperleucocytose à Polynucléaires neutrophiles</w:t>
      </w:r>
    </w:p>
    <w:p>
      <w:pPr>
        <w:numPr>
          <w:ilvl w:val="2"/>
          <w:numId w:val="27"/>
        </w:numPr>
      </w:pPr>
      <w:r>
        <w:rPr/>
        <w:t>Accélération de la VSH + CRP élevée</w:t>
      </w:r>
    </w:p>
    <w:p>
      <w:pPr>
        <w:numPr>
          <w:ilvl w:val="2"/>
          <w:numId w:val="27"/>
        </w:numPr>
      </w:pPr>
      <w:r>
        <w:rPr/>
        <w:t>Tests hépatiques normaux ou légèrement perturbés (cytolyse ou cholestase discrètes)</w:t>
      </w:r>
    </w:p>
    <w:p>
      <w:pPr>
        <w:numPr>
          <w:ilvl w:val="1"/>
          <w:numId w:val="27"/>
        </w:numPr>
      </w:pPr>
      <w:r>
        <w:rPr>
          <w:b/>
        </w:rPr>
        <w:t xml:space="preserve">La RASP </w:t>
      </w:r>
      <w:r>
        <w:rPr/>
        <w:t>montre exceptionnellement des calculs (</w:t>
      </w:r>
      <w:r>
        <w:rPr>
          <w:i/>
        </w:rPr>
        <w:t>selon leur nature)</w:t>
      </w:r>
    </w:p>
    <w:p>
      <w:pPr>
        <w:numPr>
          <w:ilvl w:val="1"/>
          <w:numId w:val="27"/>
        </w:numPr>
      </w:pPr>
      <w:r>
        <w:rPr>
          <w:b/>
        </w:rPr>
        <w:t>L’échographie abdominale</w:t>
      </w:r>
    </w:p>
    <w:p>
      <w:pPr>
        <w:numPr>
          <w:ilvl w:val="2"/>
          <w:numId w:val="27"/>
        </w:numPr>
      </w:pPr>
      <w:r>
        <w:rPr>
          <w:b/>
        </w:rPr>
        <w:t>Epaississement de la paroi vésiculaire &gt; 3mm</w:t>
      </w:r>
    </w:p>
    <w:p>
      <w:pPr>
        <w:numPr>
          <w:ilvl w:val="2"/>
          <w:numId w:val="27"/>
        </w:numPr>
      </w:pPr>
      <w:r>
        <w:rPr/>
        <w:t xml:space="preserve">Dédoublée en cas de </w:t>
      </w:r>
      <w:r>
        <w:rPr/>
        <w:t>phlégmon</w:t>
      </w:r>
      <w:r>
        <w:rPr/>
        <w:t xml:space="preserve"> vésiculaire</w:t>
      </w:r>
    </w:p>
    <w:p>
      <w:pPr>
        <w:numPr>
          <w:ilvl w:val="2"/>
          <w:numId w:val="27"/>
        </w:numPr>
      </w:pPr>
      <w:r>
        <w:rPr/>
        <w:t>Calculs au niveau du canal cystique</w:t>
      </w:r>
    </w:p>
    <w:p>
      <w:pPr>
        <w:numPr>
          <w:ilvl w:val="2"/>
          <w:numId w:val="27"/>
        </w:numPr>
      </w:pPr>
      <w:r>
        <w:rPr/>
        <w:t>Cône d’ombre postérieure</w:t>
      </w:r>
      <w:r>
        <w:rPr/>
        <w:br/>
      </w:r>
    </w:p>
    <w:p>
      <w:pPr>
        <w:numPr>
          <w:ilvl w:val="2"/>
          <w:numId w:val="27"/>
        </w:numPr>
      </w:pPr>
      <w:r>
        <w:rPr/>
        <w:t>La VBP et les voies biliaires hépatiques sont normales sauf en cas de calcul cholédocien associé (</w:t>
      </w:r>
      <w:r>
        <w:rPr>
          <w:i/>
        </w:rPr>
        <w:t xml:space="preserve">calcul qui est tombé dans le </w:t>
      </w:r>
      <w:r>
        <w:rPr>
          <w:i/>
        </w:rPr>
        <w:t>choledoque</w:t>
      </w:r>
      <w:r>
        <w:rPr>
          <w:i/>
        </w:rPr>
        <w:t>)</w:t>
      </w:r>
    </w:p>
    <w:p>
      <w:pPr>
        <w:numPr>
          <w:ilvl w:val="2"/>
          <w:numId w:val="27"/>
        </w:numPr>
      </w:pPr>
      <w:r>
        <w:drawing>
          <wp:inline xmlns:a="http://schemas.openxmlformats.org/drawingml/2006/main" xmlns:pic="http://schemas.openxmlformats.org/drawingml/2006/picture">
            <wp:extent cx="24777700" cy="1854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4777700" cy="18542000"/>
                    </a:xfrm>
                    <a:prstGeom prst="rect"/>
                  </pic:spPr>
                </pic:pic>
              </a:graphicData>
            </a:graphic>
          </wp:inline>
        </w:drawing>
      </w:r>
    </w:p>
    <w:p>
      <w:pPr/>
    </w:p>
    <w:p>
      <w:pPr>
        <w:pStyle w:val="Heading3"/>
      </w:pPr>
      <w:r>
        <w:rPr/>
        <w:t>DIAGNOSTIC DIFFERENTIEL</w:t>
      </w:r>
    </w:p>
    <w:p>
      <w:pPr>
        <w:pStyle w:val="Heading4"/>
      </w:pPr>
      <w:r>
        <w:rPr/>
        <w:t>Dans les formes typiques, il faut éliminer :</w:t>
      </w:r>
    </w:p>
    <w:p>
      <w:pPr>
        <w:numPr>
          <w:ilvl w:val="0"/>
          <w:numId w:val="28"/>
        </w:numPr>
      </w:pPr>
      <w:r>
        <w:rPr/>
        <w:t>Une appendicite aiguë sous-hépatique</w:t>
      </w:r>
    </w:p>
    <w:p>
      <w:pPr>
        <w:numPr>
          <w:ilvl w:val="0"/>
          <w:numId w:val="28"/>
        </w:numPr>
      </w:pPr>
      <w:r>
        <w:rPr/>
        <w:t>La pancréatite aiguë</w:t>
      </w:r>
    </w:p>
    <w:p>
      <w:pPr>
        <w:numPr>
          <w:ilvl w:val="0"/>
          <w:numId w:val="28"/>
        </w:numPr>
      </w:pPr>
      <w:r>
        <w:rPr/>
        <w:t>Un ulcère perforé</w:t>
      </w:r>
    </w:p>
    <w:p>
      <w:pPr>
        <w:numPr>
          <w:ilvl w:val="0"/>
          <w:numId w:val="28"/>
        </w:numPr>
      </w:pPr>
      <w:r>
        <w:rPr/>
        <w:t>Une colique néphrétique droite</w:t>
      </w:r>
    </w:p>
    <w:p>
      <w:pPr>
        <w:numPr>
          <w:ilvl w:val="0"/>
          <w:numId w:val="28"/>
        </w:numPr>
      </w:pPr>
      <w:r>
        <w:rPr/>
        <w:t>Une hépatite alcoolique aiguë</w:t>
      </w:r>
    </w:p>
    <w:p>
      <w:pPr>
        <w:numPr>
          <w:ilvl w:val="0"/>
          <w:numId w:val="28"/>
        </w:numPr>
      </w:pPr>
      <w:r>
        <w:rPr/>
        <w:t xml:space="preserve">La </w:t>
      </w:r>
      <w:r>
        <w:rPr/>
        <w:t>périhépatitie</w:t>
      </w:r>
      <w:r>
        <w:rPr/>
        <w:t xml:space="preserve"> ou syndrome de </w:t>
      </w:r>
      <w:r>
        <w:rPr>
          <w:b/>
        </w:rPr>
        <w:t>Fitz-Hugh-Curtiss</w:t>
      </w:r>
      <w:r>
        <w:rPr/>
      </w:r>
    </w:p>
    <w:p>
      <w:pPr>
        <w:numPr>
          <w:ilvl w:val="0"/>
          <w:numId w:val="28"/>
        </w:numPr>
      </w:pPr>
      <w:r>
        <w:rPr/>
        <w:t>Les affections thoraciques comme pneumopathie de la base droite</w:t>
      </w:r>
    </w:p>
    <w:p>
      <w:pPr/>
    </w:p>
    <w:p>
      <w:pPr>
        <w:pStyle w:val="Heading4"/>
      </w:pPr>
      <w:r>
        <w:rPr/>
        <w:t>Dans les formes atypiques, il faut éliminer :</w:t>
      </w:r>
    </w:p>
    <w:p>
      <w:pPr>
        <w:numPr>
          <w:ilvl w:val="0"/>
          <w:numId w:val="29"/>
        </w:numPr>
      </w:pPr>
      <w:r>
        <w:rPr/>
        <w:t>Une occlusion intestinale</w:t>
      </w:r>
    </w:p>
    <w:p>
      <w:pPr>
        <w:numPr>
          <w:ilvl w:val="0"/>
          <w:numId w:val="29"/>
        </w:numPr>
      </w:pPr>
      <w:r>
        <w:rPr/>
        <w:t>Une lithiase cholédocienne</w:t>
      </w:r>
      <w:r>
        <w:rPr/>
        <w:br/>
      </w:r>
    </w:p>
    <w:p>
      <w:pPr/>
    </w:p>
    <w:p>
      <w:pPr>
        <w:pStyle w:val="Heading2"/>
      </w:pPr>
      <w:r>
        <w:rPr/>
        <w:t>TRAITEMENT</w:t>
      </w:r>
    </w:p>
    <w:p>
      <w:pPr>
        <w:numPr>
          <w:ilvl w:val="0"/>
          <w:numId w:val="30"/>
        </w:numPr>
      </w:pPr>
      <w:r>
        <w:rPr/>
        <w:t>En cas de découverte fortuite d’une lithiase biliaire asymptomatique, aucun geste thérapeutique</w:t>
      </w:r>
      <w:r>
        <w:rPr/>
        <w:br/>
      </w:r>
      <w:r>
        <w:rPr/>
      </w:r>
    </w:p>
    <w:p>
      <w:pPr>
        <w:numPr>
          <w:ilvl w:val="0"/>
          <w:numId w:val="30"/>
        </w:numPr>
      </w:pPr>
      <w:r>
        <w:rPr/>
        <w:t>En cas de lithiase vésiculaire symptomatique, l’élimination des calculs est indiquée en raison du risque de complications</w:t>
      </w:r>
    </w:p>
    <w:p>
      <w:pPr>
        <w:numPr>
          <w:ilvl w:val="0"/>
          <w:numId w:val="30"/>
        </w:numPr>
      </w:pPr>
      <w:r>
        <w:rPr>
          <w:i/>
        </w:rPr>
        <w:t>Si douleur : traiter</w:t>
      </w:r>
      <w:r>
        <w:rPr/>
        <w:br/>
      </w:r>
    </w:p>
    <w:p>
      <w:pPr>
        <w:numPr>
          <w:ilvl w:val="0"/>
          <w:numId w:val="30"/>
        </w:numPr>
      </w:pPr>
      <w:r>
        <w:rPr/>
        <w:t>Le traitement de la colique hépatique :</w:t>
      </w:r>
    </w:p>
    <w:p>
      <w:pPr>
        <w:numPr>
          <w:ilvl w:val="1"/>
          <w:numId w:val="30"/>
        </w:numPr>
      </w:pPr>
      <w:r>
        <w:rPr/>
        <w:t>Urgence médicale nécessitant une hospitalisation,</w:t>
      </w:r>
    </w:p>
    <w:p>
      <w:pPr>
        <w:numPr>
          <w:ilvl w:val="1"/>
          <w:numId w:val="30"/>
        </w:numPr>
      </w:pPr>
      <w:r>
        <w:rPr/>
        <w:t>Associe analgésiques et antispasmodique</w:t>
      </w:r>
    </w:p>
    <w:p>
      <w:pPr>
        <w:numPr>
          <w:ilvl w:val="1"/>
          <w:numId w:val="30"/>
        </w:numPr>
      </w:pPr>
      <w:r>
        <w:rPr/>
        <w:t>Recours aux opiacés parfois nécessaire</w:t>
      </w:r>
    </w:p>
    <w:p>
      <w:pPr/>
    </w:p>
    <w:p>
      <w:pPr>
        <w:pStyle w:val="Heading3"/>
      </w:pPr>
      <w:r>
        <w:rPr/>
        <w:t>Traitement médical :</w:t>
      </w:r>
    </w:p>
    <w:p>
      <w:pPr>
        <w:pStyle w:val="Heading4"/>
      </w:pPr>
      <w:r>
        <w:rPr/>
        <w:t>Traitement dissolvant</w:t>
      </w:r>
    </w:p>
    <w:p>
      <w:pPr>
        <w:numPr>
          <w:ilvl w:val="1"/>
          <w:numId w:val="31"/>
        </w:numPr>
      </w:pPr>
      <w:r>
        <w:rPr/>
        <w:t>La dissolution des calculs grâce aux acides biliaires n’est à envisager que dans certaines conditions :</w:t>
      </w:r>
    </w:p>
    <w:p>
      <w:pPr>
        <w:numPr>
          <w:ilvl w:val="2"/>
          <w:numId w:val="31"/>
        </w:numPr>
      </w:pPr>
      <w:r>
        <w:rPr/>
        <w:t xml:space="preserve">Le calcul doit être </w:t>
      </w:r>
      <w:r>
        <w:rPr/>
        <w:t>radiotransparent</w:t>
      </w:r>
      <w:r>
        <w:rPr/>
        <w:t xml:space="preserve"> et composé principalement de cholestérol</w:t>
      </w:r>
    </w:p>
    <w:p>
      <w:pPr>
        <w:numPr>
          <w:ilvl w:val="2"/>
          <w:numId w:val="31"/>
        </w:numPr>
      </w:pPr>
      <w:r>
        <w:rPr/>
        <w:t>La vésicule biliaire doit être perméable</w:t>
      </w:r>
    </w:p>
    <w:p>
      <w:pPr>
        <w:numPr>
          <w:ilvl w:val="2"/>
          <w:numId w:val="31"/>
        </w:numPr>
      </w:pPr>
      <w:r>
        <w:rPr/>
        <w:t>Le calcul ne doit pas mesurer plus de 5mm de diamètre</w:t>
      </w:r>
    </w:p>
    <w:p>
      <w:pPr>
        <w:numPr>
          <w:ilvl w:val="1"/>
          <w:numId w:val="31"/>
        </w:numPr>
      </w:pPr>
      <w:r>
        <w:rPr>
          <w:b/>
        </w:rPr>
        <w:t xml:space="preserve">L’acide </w:t>
      </w:r>
      <w:r>
        <w:rPr>
          <w:b/>
        </w:rPr>
        <w:t>urssodésoxycholique</w:t>
      </w:r>
      <w:r>
        <w:rPr>
          <w:b/>
        </w:rPr>
        <w:t>(</w:t>
      </w:r>
      <w:r>
        <w:rPr>
          <w:b/>
        </w:rPr>
        <w:t>Ursolvan</w:t>
      </w:r>
      <w:r>
        <w:rPr>
          <w:b/>
        </w:rPr>
        <w:t xml:space="preserve">,  </w:t>
      </w:r>
      <w:r>
        <w:rPr>
          <w:b/>
        </w:rPr>
        <w:t>Delursan</w:t>
      </w:r>
      <w:r>
        <w:rPr>
          <w:b/>
        </w:rPr>
        <w:t xml:space="preserve">...) </w:t>
      </w:r>
      <w:r>
        <w:rPr/>
        <w:t xml:space="preserve">est le seul actuellement utilisé </w:t>
      </w:r>
      <w:r>
        <w:rPr>
          <w:i/>
        </w:rPr>
        <w:t>pendant 6 mois minimum</w:t>
      </w:r>
    </w:p>
    <w:p>
      <w:pPr>
        <w:pStyle w:val="Heading4"/>
      </w:pPr>
      <w:r>
        <w:rPr/>
        <w:t>Lithotritie extracorporelle</w:t>
      </w:r>
    </w:p>
    <w:p>
      <w:pPr>
        <w:numPr>
          <w:ilvl w:val="1"/>
          <w:numId w:val="31"/>
        </w:numPr>
      </w:pPr>
      <w:r>
        <w:rPr/>
        <w:t>La lithotritie extracorporelle par ondes de choc consiste à fragmenter les calculs en provoquant à leur surface des augmentations de pression brusques et répétées</w:t>
      </w:r>
    </w:p>
    <w:p>
      <w:pPr>
        <w:numPr>
          <w:ilvl w:val="1"/>
          <w:numId w:val="31"/>
        </w:numPr>
      </w:pPr>
      <w:r>
        <w:rPr/>
        <w:t xml:space="preserve">Les indications de la lithotritie se limitent aux calculs </w:t>
      </w:r>
      <w:r>
        <w:rPr/>
        <w:t>succeptibles</w:t>
      </w:r>
      <w:r>
        <w:rPr/>
        <w:t xml:space="preserve"> d’être dissous par les acides biliaires (calculs </w:t>
      </w:r>
      <w:r>
        <w:rPr/>
        <w:t>cholestéroliques</w:t>
      </w:r>
      <w:r>
        <w:rPr/>
        <w:t xml:space="preserve"> situés dans une vésicule fonctionnelle)</w:t>
      </w:r>
    </w:p>
    <w:p>
      <w:pPr>
        <w:pStyle w:val="Heading4"/>
      </w:pPr>
      <w:r>
        <w:rPr/>
        <w:t>Indications du traitement</w:t>
      </w:r>
      <w:r>
        <w:rPr/>
      </w:r>
    </w:p>
    <w:p>
      <w:pPr>
        <w:numPr>
          <w:ilvl w:val="0"/>
          <w:numId w:val="32"/>
        </w:numPr>
      </w:pPr>
      <w:r>
        <w:rPr/>
        <w:t>Chez le sujet jeune, le traitement médical est contre-indiqué dans la mesure où il n’est jamais définitif</w:t>
      </w:r>
    </w:p>
    <w:p>
      <w:pPr>
        <w:numPr>
          <w:ilvl w:val="0"/>
          <w:numId w:val="32"/>
        </w:numPr>
      </w:pPr>
      <w:r>
        <w:rPr>
          <w:b/>
        </w:rPr>
        <w:t xml:space="preserve">La </w:t>
      </w:r>
      <w:r>
        <w:rPr>
          <w:b/>
        </w:rPr>
        <w:t>cholecystectomie</w:t>
      </w:r>
      <w:r>
        <w:rPr>
          <w:b/>
        </w:rPr>
        <w:t xml:space="preserve"> est nécessaire en cas de colique hépatique ou d’apparition de complications</w:t>
      </w:r>
      <w:r>
        <w:rPr>
          <w:b/>
        </w:rPr>
        <w:br/>
      </w:r>
    </w:p>
    <w:p>
      <w:pPr>
        <w:numPr>
          <w:ilvl w:val="0"/>
          <w:numId w:val="32"/>
        </w:numPr>
      </w:pPr>
      <w:r>
        <w:rPr/>
        <w:t>Chez le sujet très âgé et/ou à risque opératoire élevé, un traitement médical ou l’abstention thérapeutique se discutent</w:t>
      </w:r>
    </w:p>
    <w:p>
      <w:pPr/>
    </w:p>
    <w:p>
      <w:pPr>
        <w:pStyle w:val="Heading5"/>
      </w:pPr>
      <w:r>
        <w:rPr/>
        <w:t>Traitement médical de la cholécystite aiguë</w:t>
      </w:r>
    </w:p>
    <w:p>
      <w:pPr>
        <w:numPr>
          <w:ilvl w:val="0"/>
          <w:numId w:val="33"/>
        </w:numPr>
      </w:pPr>
      <w:r>
        <w:rPr/>
        <w:t>Traitement initial :</w:t>
      </w:r>
    </w:p>
    <w:p>
      <w:pPr>
        <w:numPr>
          <w:ilvl w:val="1"/>
          <w:numId w:val="33"/>
        </w:numPr>
      </w:pPr>
      <w:r>
        <w:rPr/>
        <w:t>A jeun</w:t>
      </w:r>
    </w:p>
    <w:p>
      <w:pPr>
        <w:numPr>
          <w:ilvl w:val="1"/>
          <w:numId w:val="33"/>
        </w:numPr>
      </w:pPr>
      <w:r>
        <w:rPr/>
        <w:t>Perfusion intra-veineuse</w:t>
      </w:r>
    </w:p>
    <w:p>
      <w:pPr>
        <w:numPr>
          <w:ilvl w:val="1"/>
          <w:numId w:val="33"/>
        </w:numPr>
      </w:pPr>
      <w:r>
        <w:rPr/>
        <w:t xml:space="preserve">Correction d’une anomalie </w:t>
      </w:r>
      <w:r>
        <w:rPr/>
        <w:t>hydro-électrolytique</w:t>
      </w:r>
    </w:p>
    <w:p>
      <w:pPr>
        <w:numPr>
          <w:ilvl w:val="1"/>
          <w:numId w:val="33"/>
        </w:numPr>
      </w:pPr>
      <w:r>
        <w:rPr/>
        <w:t>Antalgique</w:t>
      </w:r>
    </w:p>
    <w:p>
      <w:pPr>
        <w:numPr>
          <w:ilvl w:val="1"/>
          <w:numId w:val="33"/>
        </w:numPr>
      </w:pPr>
      <w:r>
        <w:rPr/>
        <w:t>Antibiotique intraveineuse à bonne diffusion biliaire :</w:t>
      </w:r>
    </w:p>
    <w:p>
      <w:pPr>
        <w:numPr>
          <w:ilvl w:val="2"/>
          <w:numId w:val="33"/>
        </w:numPr>
      </w:pPr>
      <w:r>
        <w:rPr/>
        <w:t xml:space="preserve">C3G type </w:t>
      </w:r>
      <w:r>
        <w:rPr>
          <w:b/>
        </w:rPr>
        <w:t>ceftriaxon</w:t>
      </w:r>
      <w:r>
        <w:rPr>
          <w:b/>
        </w:rPr>
        <w:t xml:space="preserve"> (1g en IV en 24h) </w:t>
      </w:r>
      <w:r>
        <w:rPr/>
        <w:t xml:space="preserve">ou </w:t>
      </w:r>
      <w:r>
        <w:rPr>
          <w:b/>
        </w:rPr>
        <w:t>ciprofloxacine (</w:t>
      </w:r>
      <w:r>
        <w:rPr/>
        <w:t>500mg toutes les 12 heures)</w:t>
      </w:r>
    </w:p>
    <w:p>
      <w:pPr>
        <w:numPr>
          <w:ilvl w:val="2"/>
          <w:numId w:val="33"/>
        </w:numPr>
      </w:pPr>
      <w:r>
        <w:rPr/>
        <w:t xml:space="preserve">Bactéries souvent cause de complication infectieuse : </w:t>
      </w:r>
      <w:r>
        <w:rPr>
          <w:i/>
        </w:rPr>
        <w:t xml:space="preserve">Escherichia coli, </w:t>
      </w:r>
      <w:r>
        <w:rPr>
          <w:i/>
        </w:rPr>
        <w:t>Bacteroides</w:t>
      </w:r>
      <w:r>
        <w:rPr>
          <w:i/>
        </w:rPr>
        <w:t xml:space="preserve"> </w:t>
      </w:r>
      <w:r>
        <w:rPr>
          <w:i/>
        </w:rPr>
        <w:t>fragilis</w:t>
      </w:r>
      <w:r>
        <w:rPr>
          <w:i/>
        </w:rPr>
        <w:t xml:space="preserve">, Klebsiella, Enterococcus, Pseudomonas </w:t>
      </w:r>
      <w:r>
        <w:rPr>
          <w:i/>
        </w:rPr>
        <w:t>species</w:t>
      </w:r>
    </w:p>
    <w:p>
      <w:pPr/>
    </w:p>
    <w:p>
      <w:pPr>
        <w:pStyle w:val="Heading2"/>
      </w:pPr>
      <w:r>
        <w:rPr/>
        <w:t>Traitement chirurgical : précoce (dans les 72h)</w:t>
      </w:r>
    </w:p>
    <w:p>
      <w:pPr>
        <w:numPr>
          <w:ilvl w:val="0"/>
          <w:numId w:val="34"/>
        </w:numPr>
      </w:pPr>
      <w:r>
        <w:rPr>
          <w:b/>
        </w:rPr>
        <w:t xml:space="preserve">La </w:t>
      </w:r>
      <w:r>
        <w:rPr>
          <w:b/>
        </w:rPr>
        <w:t>cholecystectomie</w:t>
      </w:r>
      <w:r>
        <w:rPr/>
        <w:t xml:space="preserve"> est le </w:t>
      </w:r>
      <w:r>
        <w:rPr>
          <w:u w:val="single"/>
        </w:rPr>
        <w:t>traitement idéal</w:t>
      </w:r>
      <w:r>
        <w:rPr/>
        <w:t xml:space="preserve"> de la lithiase vésiculaire symptomatique, quel que soit le type de calcul</w:t>
      </w:r>
    </w:p>
    <w:p>
      <w:pPr>
        <w:numPr>
          <w:ilvl w:val="1"/>
          <w:numId w:val="34"/>
        </w:numPr>
      </w:pPr>
      <w:r>
        <w:rPr/>
        <w:t>Enlever la vésicule biliaire + le ou les calculs à l’intérieur</w:t>
      </w:r>
    </w:p>
    <w:p>
      <w:pPr>
        <w:numPr>
          <w:ilvl w:val="1"/>
          <w:numId w:val="34"/>
        </w:numPr>
      </w:pPr>
      <w:r>
        <w:rPr/>
        <w:t>Peut être réalisée à distance de l’accès douloureux</w:t>
      </w:r>
      <w:r>
        <w:rPr/>
        <w:br/>
      </w:r>
    </w:p>
    <w:p>
      <w:pPr>
        <w:numPr>
          <w:ilvl w:val="1"/>
          <w:numId w:val="34"/>
        </w:numPr>
      </w:pPr>
      <w:r>
        <w:rPr/>
        <w:t>Si possible : Par laparoscopie</w:t>
      </w:r>
    </w:p>
    <w:p>
      <w:pPr>
        <w:numPr>
          <w:ilvl w:val="1"/>
          <w:numId w:val="34"/>
        </w:numPr>
      </w:pPr>
      <w:r>
        <w:rPr/>
        <w:t>Sinon une laparotomie médiane conventionnelle ou une incision sous-costale D</w:t>
      </w:r>
    </w:p>
    <w:p>
      <w:pPr>
        <w:numPr>
          <w:ilvl w:val="1"/>
          <w:numId w:val="34"/>
        </w:numPr>
      </w:pPr>
      <w:r>
        <w:rPr/>
        <w:t>Cholangiographie peropératoire pour rechercher un calcul résiduel éventuel dans les voies biliaires</w:t>
      </w:r>
    </w:p>
    <w:p>
      <w:pPr>
        <w:numPr>
          <w:ilvl w:val="0"/>
          <w:numId w:val="34"/>
        </w:numPr>
      </w:pPr>
      <w:r>
        <w:rPr>
          <w:b/>
        </w:rPr>
        <w:t xml:space="preserve">La </w:t>
      </w:r>
      <w:r>
        <w:rPr>
          <w:b/>
        </w:rPr>
        <w:t>cholecystostomie</w:t>
      </w:r>
      <w:r>
        <w:rPr>
          <w:b/>
        </w:rPr>
        <w:t xml:space="preserve"> : </w:t>
      </w:r>
      <w:r>
        <w:rPr/>
        <w:t>ouverture à la peau de la vésicule biliaire par l’intermédiaire d’une sonde, Inconvénient = calcul laissé en place</w:t>
      </w:r>
    </w:p>
    <w:p>
      <w:pPr>
        <w:numPr>
          <w:ilvl w:val="0"/>
          <w:numId w:val="34"/>
        </w:numPr>
      </w:pPr>
      <w:r>
        <w:rPr/>
        <w:t xml:space="preserve">La </w:t>
      </w:r>
      <w:r>
        <w:rPr/>
        <w:t>cholecystendèse</w:t>
      </w:r>
      <w:r>
        <w:rPr/>
        <w:t xml:space="preserve"> : elle associe à la </w:t>
      </w:r>
      <w:r>
        <w:rPr/>
        <w:t>précédente</w:t>
      </w:r>
      <w:r>
        <w:rPr/>
        <w:t xml:space="preserve"> intervention l’évacuation des calculs par l’ouverture de la vésicule</w:t>
      </w:r>
      <w:r>
        <w:rPr/>
        <w:br/>
      </w:r>
      <w:r>
        <w:rPr/>
        <w:br/>
        <w:t>En cas de malades très âgé et fatigué, ne supportant pas une anesthésie générale, ces deux méthodes peuvent être utilisées. Secondairement, quand l’état du malade sera meilleur, il faut faire une cholécystectomie</w:t>
      </w:r>
    </w:p>
    <w:p>
      <w:pPr/>
    </w:p>
    <w:p>
      <w:pPr/>
      <w:r>
        <w:rPr>
          <w:b/>
        </w:rPr>
        <w:t>Résumé audio : 1h30mn</w:t>
      </w:r>
    </w:p>
    <w:p>
      <w:pPr>
        <w:spacing w:after="200"/>
      </w:pPr>
      <w:r>
        <w:rPr>
          <w:b/>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