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APPENDICITES AIGUËS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/>
        <w:t>Inflammation aiguë de l’appendice en raison de sa richesse en tissu lymphoïde</w:t>
      </w:r>
    </w:p>
    <w:p>
      <w:pPr>
        <w:numPr>
          <w:ilvl w:val="0"/>
          <w:numId w:val="2"/>
        </w:numPr>
      </w:pPr>
      <w:r>
        <w:rPr/>
        <w:t>Fréquente chez l’adulte jeune et l’adolescent</w:t>
      </w:r>
    </w:p>
    <w:p>
      <w:pPr>
        <w:numPr>
          <w:ilvl w:val="0"/>
          <w:numId w:val="2"/>
        </w:numPr>
      </w:pPr>
      <w:r>
        <w:rPr/>
        <w:t>Insister sur le polymorphisme clinique</w:t>
      </w:r>
    </w:p>
    <w:p>
      <w:pPr>
        <w:numPr>
          <w:ilvl w:val="0"/>
          <w:numId w:val="2"/>
        </w:numPr>
      </w:pPr>
      <w:r>
        <w:rPr/>
        <w:t>Risque mortel imprévisible pour ces appendicites aiguës</w:t>
      </w:r>
    </w:p>
    <w:p>
      <w:pPr/>
    </w:p>
    <w:p>
      <w:pPr>
        <w:pStyle w:val="Heading2"/>
      </w:pPr>
      <w:r>
        <w:rPr/>
        <w:t>ANATOMIE PATHOLOGIQUE</w:t>
      </w:r>
    </w:p>
    <w:p>
      <w:pPr/>
      <w:r>
        <w:rPr>
          <w:color w:val="FF0000"/>
        </w:rPr>
        <w:t>“</w:t>
      </w:r>
      <w:r>
        <w:rPr>
          <w:b/>
          <w:color w:val="FF0000"/>
        </w:rPr>
        <w:t>toute pièce d’appendicectomie doit être envoyée à l’anapath”</w:t>
      </w:r>
    </w:p>
    <w:p>
      <w:pPr>
        <w:pStyle w:val="Heading3"/>
      </w:pPr>
      <w:r>
        <w:rPr/>
        <w:t>Aspect morphologique</w:t>
      </w:r>
    </w:p>
    <w:p>
      <w:pPr>
        <w:numPr>
          <w:ilvl w:val="1"/>
          <w:numId w:val="3"/>
        </w:numPr>
      </w:pPr>
      <w:r>
        <w:rPr>
          <w:color w:val="000000"/>
        </w:rPr>
        <w:t>Appendice sain (macro et microscopie) ou discrètement congestif</w:t>
      </w:r>
    </w:p>
    <w:p>
      <w:pPr>
        <w:numPr>
          <w:ilvl w:val="1"/>
          <w:numId w:val="3"/>
        </w:numPr>
      </w:pPr>
      <w:r>
        <w:rPr>
          <w:color w:val="000000"/>
        </w:rPr>
        <w:t>Appendice catarrhal : rouge et hyperhémié</w:t>
      </w:r>
    </w:p>
    <w:p>
      <w:pPr>
        <w:numPr>
          <w:ilvl w:val="1"/>
          <w:numId w:val="3"/>
        </w:numPr>
      </w:pPr>
      <w:r>
        <w:rPr>
          <w:color w:val="000000"/>
        </w:rPr>
        <w:t xml:space="preserve">Appendice purulent : turgescent, tendu, recouvert de fausses membranes avec une paroi siège d’infiltrations de polynucléaires, de nécroses, de </w:t>
      </w:r>
      <w:r>
        <w:rPr>
          <w:color w:val="000000"/>
        </w:rPr>
        <w:t>pus</w:t>
      </w:r>
      <w:r>
        <w:rPr>
          <w:color w:val="000000"/>
        </w:rPr>
        <w:t>, une lumière remplie de pus (empyème), il peut se fistuliser réalisant l’abcès appendiculaire</w:t>
      </w:r>
    </w:p>
    <w:p>
      <w:pPr>
        <w:numPr>
          <w:ilvl w:val="1"/>
          <w:numId w:val="3"/>
        </w:numPr>
      </w:pPr>
      <w:r>
        <w:rPr>
          <w:color w:val="000000"/>
        </w:rPr>
        <w:t>Appendice gangréneux : noirâtre avec destruction plus ou moins étendue de la paroi (germes anaérobies +++)</w:t>
      </w:r>
      <w:r>
        <w:rPr>
          <w:color w:val="000000"/>
        </w:rPr>
        <w:br/>
      </w:r>
      <w:r>
        <w:rPr>
          <w:b/>
          <w:color w:val="000000"/>
        </w:rPr>
        <w:br/>
        <w:t>Ces deux dernières formes peuvent s’accompagner de perforation aboutissant à la péritonite localisée puis généralisée</w:t>
      </w:r>
    </w:p>
    <w:p>
      <w:pPr>
        <w:pStyle w:val="Heading3"/>
      </w:pPr>
      <w:r>
        <w:rPr/>
        <w:t>Aspect topographique</w:t>
      </w:r>
    </w:p>
    <w:p>
      <w:pPr>
        <w:numPr>
          <w:ilvl w:val="2"/>
          <w:numId w:val="3"/>
        </w:numPr>
      </w:pPr>
      <w:r>
        <w:rPr>
          <w:color w:val="000000"/>
        </w:rPr>
        <w:t xml:space="preserve">Position normale : </w:t>
      </w:r>
      <w:r>
        <w:rPr>
          <w:color w:val="000000"/>
        </w:rPr>
        <w:t>Caecum</w:t>
      </w:r>
      <w:r>
        <w:rPr>
          <w:color w:val="000000"/>
        </w:rPr>
        <w:t xml:space="preserve"> et appendice dans la FID; cependant la position de l’appendice peut varier</w:t>
      </w:r>
    </w:p>
    <w:p>
      <w:pPr>
        <w:numPr>
          <w:ilvl w:val="2"/>
          <w:numId w:val="3"/>
        </w:numPr>
      </w:pPr>
      <w:r>
        <w:rPr>
          <w:color w:val="000000"/>
        </w:rPr>
        <w:t xml:space="preserve">Par variation de position du </w:t>
      </w:r>
      <w:r>
        <w:rPr>
          <w:color w:val="000000"/>
        </w:rPr>
        <w:t>caecum</w:t>
      </w:r>
      <w:r>
        <w:rPr>
          <w:color w:val="000000"/>
        </w:rPr>
        <w:t xml:space="preserve"> :</w:t>
      </w:r>
    </w:p>
    <w:p>
      <w:pPr>
        <w:numPr>
          <w:ilvl w:val="3"/>
          <w:numId w:val="3"/>
        </w:numPr>
      </w:pPr>
      <w:r>
        <w:rPr>
          <w:color w:val="000000"/>
        </w:rPr>
        <w:t>Caecum</w:t>
      </w:r>
      <w:r>
        <w:rPr>
          <w:color w:val="000000"/>
        </w:rPr>
        <w:t xml:space="preserve"> sous-hépatique par défaut de rotation -&gt; appendice sous-hépatique</w:t>
      </w:r>
    </w:p>
    <w:p>
      <w:pPr>
        <w:numPr>
          <w:ilvl w:val="3"/>
          <w:numId w:val="3"/>
        </w:numPr>
      </w:pPr>
      <w:r>
        <w:rPr>
          <w:color w:val="000000"/>
        </w:rPr>
        <w:t>Caecum</w:t>
      </w:r>
      <w:r>
        <w:rPr>
          <w:color w:val="000000"/>
        </w:rPr>
        <w:t xml:space="preserve"> pelvien par excès de rotation -&gt; appendice pelvien</w:t>
      </w:r>
    </w:p>
    <w:p>
      <w:pPr>
        <w:numPr>
          <w:ilvl w:val="3"/>
          <w:numId w:val="3"/>
        </w:numPr>
      </w:pPr>
      <w:r>
        <w:rPr>
          <w:color w:val="000000"/>
        </w:rPr>
        <w:t xml:space="preserve">Anomalie d’accolement (mésentère commun) où le </w:t>
      </w:r>
      <w:r>
        <w:rPr>
          <w:color w:val="000000"/>
        </w:rPr>
        <w:t>caecum</w:t>
      </w:r>
      <w:r>
        <w:rPr>
          <w:color w:val="000000"/>
        </w:rPr>
        <w:t xml:space="preserve"> se trouve à gauche (</w:t>
      </w:r>
      <w:r>
        <w:rPr>
          <w:i/>
          <w:color w:val="000000"/>
        </w:rPr>
        <w:t>FIG)</w:t>
      </w:r>
      <w:r>
        <w:rPr>
          <w:color w:val="000000"/>
        </w:rPr>
        <w:t xml:space="preserve">-&gt; </w:t>
      </w:r>
      <w:r>
        <w:rPr>
          <w:color w:val="000000"/>
        </w:rPr>
        <w:t>situs</w:t>
      </w:r>
      <w:r>
        <w:rPr>
          <w:color w:val="000000"/>
        </w:rPr>
        <w:t xml:space="preserve"> </w:t>
      </w:r>
      <w:r>
        <w:rPr>
          <w:color w:val="000000"/>
        </w:rPr>
        <w:t>inversus</w:t>
      </w:r>
    </w:p>
    <w:p>
      <w:pPr>
        <w:numPr>
          <w:ilvl w:val="2"/>
          <w:numId w:val="3"/>
        </w:numPr>
      </w:pPr>
      <w:r>
        <w:rPr>
          <w:color w:val="000000"/>
        </w:rPr>
        <w:t xml:space="preserve">Par </w:t>
      </w:r>
      <w:r>
        <w:rPr>
          <w:color w:val="000000"/>
        </w:rPr>
        <w:t>varition</w:t>
      </w:r>
      <w:r>
        <w:rPr>
          <w:color w:val="000000"/>
        </w:rPr>
        <w:t xml:space="preserve"> de position de l’appendice par rapport au </w:t>
      </w:r>
      <w:r>
        <w:rPr>
          <w:color w:val="000000"/>
        </w:rPr>
        <w:t>caecum</w:t>
      </w:r>
      <w:r>
        <w:rPr>
          <w:color w:val="000000"/>
        </w:rPr>
        <w:t xml:space="preserve"> (</w:t>
      </w:r>
      <w:r>
        <w:rPr>
          <w:i/>
          <w:color w:val="000000"/>
        </w:rPr>
        <w:t>normal = appendice iléo-caecal)</w:t>
      </w:r>
    </w:p>
    <w:p>
      <w:pPr>
        <w:numPr>
          <w:ilvl w:val="3"/>
          <w:numId w:val="3"/>
        </w:numPr>
      </w:pPr>
      <w:r>
        <w:rPr>
          <w:color w:val="000000"/>
        </w:rPr>
        <w:t xml:space="preserve">Appendice </w:t>
      </w:r>
      <w:r>
        <w:rPr>
          <w:color w:val="000000"/>
        </w:rPr>
        <w:t>latéro</w:t>
      </w:r>
      <w:r>
        <w:rPr>
          <w:color w:val="000000"/>
        </w:rPr>
        <w:t>-caecal</w:t>
      </w:r>
    </w:p>
    <w:p>
      <w:pPr>
        <w:numPr>
          <w:ilvl w:val="3"/>
          <w:numId w:val="3"/>
        </w:numPr>
      </w:pPr>
      <w:r>
        <w:rPr>
          <w:color w:val="000000"/>
        </w:rPr>
        <w:t>Appendice rétro-caecal</w:t>
      </w:r>
    </w:p>
    <w:p>
      <w:pPr>
        <w:numPr>
          <w:ilvl w:val="3"/>
          <w:numId w:val="3"/>
        </w:numPr>
      </w:pPr>
      <w:r>
        <w:rPr>
          <w:color w:val="000000"/>
        </w:rPr>
        <w:t xml:space="preserve">Appendice </w:t>
      </w:r>
      <w:r>
        <w:rPr>
          <w:color w:val="000000"/>
        </w:rPr>
        <w:t>mésocoeliaque</w:t>
      </w:r>
      <w:r>
        <w:rPr>
          <w:color w:val="000000"/>
        </w:rPr>
        <w:t xml:space="preserve"> (</w:t>
      </w:r>
      <w:r>
        <w:rPr>
          <w:i/>
          <w:color w:val="000000"/>
        </w:rPr>
        <w:t>l’appendice se dirige en direction de l’ombilic)</w:t>
      </w:r>
    </w:p>
    <w:p>
      <w:pPr>
        <w:pStyle w:val="Heading3"/>
      </w:pPr>
      <w:r>
        <w:rPr/>
        <w:t>Aspect évolutif</w:t>
      </w:r>
    </w:p>
    <w:p>
      <w:pPr>
        <w:numPr>
          <w:ilvl w:val="2"/>
          <w:numId w:val="3"/>
        </w:numPr>
      </w:pPr>
      <w:r>
        <w:rPr>
          <w:color w:val="000000"/>
        </w:rPr>
        <w:t>L’évolution se fait presque toujours vers les complications</w:t>
      </w:r>
      <w:r>
        <w:rPr>
          <w:color w:val="000000"/>
        </w:rPr>
        <w:br/>
      </w:r>
      <w:r>
        <w:rPr>
          <w:b/>
          <w:color w:val="000000"/>
        </w:rPr>
        <w:br/>
      </w:r>
      <w:r>
        <w:rPr>
          <w:b/>
          <w:color w:val="000000"/>
        </w:rPr>
        <w:br/>
        <w:t xml:space="preserve">Crise appendiculaire </w:t>
      </w:r>
      <w:r>
        <w:rPr>
          <w:b/>
          <w:i/>
          <w:color w:val="000000"/>
        </w:rPr>
        <w:t>aiguë</w:t>
      </w:r>
    </w:p>
    <w:p>
      <w:pPr>
        <w:numPr>
          <w:ilvl w:val="3"/>
          <w:numId w:val="3"/>
        </w:numPr>
      </w:pPr>
      <w:r>
        <w:rPr>
          <w:b/>
          <w:color w:val="000000"/>
        </w:rPr>
        <w:t>-&gt; péritonite d’emblée</w:t>
      </w:r>
    </w:p>
    <w:p>
      <w:pPr>
        <w:numPr>
          <w:ilvl w:val="3"/>
          <w:numId w:val="3"/>
        </w:numPr>
      </w:pPr>
      <w:r>
        <w:rPr>
          <w:b/>
          <w:color w:val="000000"/>
        </w:rPr>
        <w:t>Accalmie -&gt; péritonite en 2 temps</w:t>
      </w:r>
    </w:p>
    <w:p>
      <w:pPr>
        <w:numPr>
          <w:ilvl w:val="3"/>
          <w:numId w:val="3"/>
        </w:numPr>
      </w:pPr>
      <w:r>
        <w:rPr>
          <w:b/>
          <w:color w:val="000000"/>
        </w:rPr>
        <w:t>Plastron puis abcès -&gt; péritonite en 3 temps</w:t>
      </w:r>
    </w:p>
    <w:p>
      <w:pPr>
        <w:numPr>
          <w:ilvl w:val="3"/>
          <w:numId w:val="3"/>
        </w:numPr>
      </w:pPr>
      <w:r>
        <w:rPr>
          <w:b/>
          <w:color w:val="000000"/>
        </w:rPr>
        <w:t>Occlusion appendiculaire</w:t>
      </w:r>
    </w:p>
    <w:p>
      <w:pPr>
        <w:numPr>
          <w:ilvl w:val="2"/>
          <w:numId w:val="3"/>
        </w:numPr>
      </w:pPr>
      <w:r>
        <w:rPr>
          <w:b/>
          <w:color w:val="000000"/>
          <w:u w:val="single"/>
        </w:rPr>
        <w:t>Plastron :</w:t>
      </w:r>
      <w:r>
        <w:rPr>
          <w:color w:val="000000"/>
        </w:rPr>
        <w:t xml:space="preserve"> agglutination des viscères autour du foyer appendiculaire inflammé (</w:t>
      </w:r>
      <w:r>
        <w:rPr>
          <w:i/>
          <w:color w:val="000000"/>
        </w:rPr>
        <w:t>définition anapath. Appendice inflammée, pour limiter la diffusion de l’inflammation : les anses intestinales vont s’agglutiner pour circonscrire l’inflammation)</w:t>
      </w:r>
    </w:p>
    <w:p>
      <w:pPr>
        <w:numPr>
          <w:ilvl w:val="2"/>
          <w:numId w:val="3"/>
        </w:numPr>
      </w:pPr>
      <w:r>
        <w:rPr>
          <w:b/>
          <w:color w:val="000000"/>
          <w:u w:val="single"/>
        </w:rPr>
        <w:t>Abcès appendiculaire:</w:t>
      </w:r>
      <w:r>
        <w:rPr>
          <w:color w:val="000000"/>
        </w:rPr>
        <w:t xml:space="preserve"> collection de pus circonscrite par les anses grêles. Le pus se trouve à l’extérieur de la lumière appendiculaire (</w:t>
      </w:r>
      <w:r>
        <w:rPr>
          <w:i/>
          <w:color w:val="000000"/>
        </w:rPr>
        <w:t>par opposition à l’empyème appendiculaire)</w:t>
      </w:r>
    </w:p>
    <w:p>
      <w:pPr>
        <w:numPr>
          <w:ilvl w:val="2"/>
          <w:numId w:val="3"/>
        </w:numPr>
      </w:pPr>
      <w:r>
        <w:rPr>
          <w:b/>
          <w:color w:val="000000"/>
          <w:u w:val="single"/>
        </w:rPr>
        <w:t>Péritonite appendiculaire:</w:t>
      </w:r>
      <w:r>
        <w:rPr>
          <w:color w:val="000000"/>
        </w:rPr>
        <w:t xml:space="preserve"> inflammation aiguë de la séreuse péritonéale étendue sur l’ensemble de la cavité abdominale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Forme typique de l’adulte jeune</w:t>
      </w:r>
    </w:p>
    <w:p>
      <w:pPr>
        <w:numPr>
          <w:ilvl w:val="0"/>
          <w:numId w:val="4"/>
        </w:numPr>
      </w:pPr>
      <w:r>
        <w:rPr/>
        <w:t xml:space="preserve">La crise d’appendicite aiguë sur appendice en position normale de l’adulte jeune réalise un </w:t>
      </w:r>
      <w:r>
        <w:rPr>
          <w:b/>
        </w:rPr>
        <w:t>tableau douloureux fébrile de la FID</w:t>
      </w:r>
    </w:p>
    <w:p>
      <w:pPr>
        <w:pStyle w:val="Heading4"/>
      </w:pPr>
      <w:r>
        <w:rPr/>
        <w:t>Signes généraux</w:t>
      </w:r>
    </w:p>
    <w:p>
      <w:pPr>
        <w:numPr>
          <w:ilvl w:val="1"/>
          <w:numId w:val="4"/>
        </w:numPr>
      </w:pPr>
      <w:r>
        <w:rPr/>
        <w:t>EG conservé</w:t>
      </w:r>
    </w:p>
    <w:p>
      <w:pPr>
        <w:numPr>
          <w:ilvl w:val="1"/>
          <w:numId w:val="4"/>
        </w:numPr>
      </w:pPr>
      <w:r>
        <w:rPr/>
        <w:t>Langue saburrale (</w:t>
      </w:r>
      <w:r>
        <w:rPr>
          <w:i/>
        </w:rPr>
        <w:t>langue blanchâtre surchargée)</w:t>
      </w:r>
    </w:p>
    <w:p>
      <w:pPr>
        <w:numPr>
          <w:ilvl w:val="1"/>
          <w:numId w:val="4"/>
        </w:numPr>
      </w:pPr>
      <w:r>
        <w:rPr/>
        <w:t>Tachycardie</w:t>
      </w:r>
    </w:p>
    <w:p>
      <w:pPr>
        <w:numPr>
          <w:ilvl w:val="1"/>
          <w:numId w:val="4"/>
        </w:numPr>
      </w:pPr>
      <w:r>
        <w:rPr/>
        <w:t>Température discrètement élevée 37°8 -38° rarement supérieure à 38°5C</w:t>
      </w:r>
    </w:p>
    <w:p>
      <w:pPr>
        <w:pStyle w:val="Heading4"/>
      </w:pPr>
      <w:r>
        <w:rPr/>
        <w:t>Signes fonctionnels</w:t>
      </w:r>
    </w:p>
    <w:p>
      <w:pPr>
        <w:numPr>
          <w:ilvl w:val="1"/>
          <w:numId w:val="4"/>
        </w:numPr>
      </w:pPr>
      <w:r>
        <w:rPr/>
        <w:t>Douleur avec début progressif, rarement brutal</w:t>
      </w:r>
    </w:p>
    <w:p>
      <w:pPr>
        <w:numPr>
          <w:ilvl w:val="2"/>
          <w:numId w:val="4"/>
        </w:numPr>
      </w:pPr>
      <w:r>
        <w:rPr/>
        <w:t>Siège habituel à la FID, souvent débute au niveau de l’épigastre ou de l’ombilic (douleur liée à la distension de l’organe)</w:t>
      </w:r>
    </w:p>
    <w:p>
      <w:pPr>
        <w:numPr>
          <w:ilvl w:val="2"/>
          <w:numId w:val="4"/>
        </w:numPr>
      </w:pPr>
      <w:r>
        <w:rPr/>
        <w:t>Intensité modérée mais si continue devient lancinante</w:t>
      </w:r>
    </w:p>
    <w:p>
      <w:pPr>
        <w:numPr>
          <w:ilvl w:val="2"/>
          <w:numId w:val="4"/>
        </w:numPr>
      </w:pPr>
      <w:r>
        <w:rPr/>
        <w:t>Signes accompagnateurs : nausée, vomissement, constipation ou souvent diarrhée (pas d’intérêt diagnostique)</w:t>
      </w:r>
    </w:p>
    <w:p>
      <w:pPr>
        <w:pStyle w:val="Heading4"/>
      </w:pPr>
      <w:r>
        <w:rPr/>
        <w:t>Signes physiques :</w:t>
      </w:r>
    </w:p>
    <w:p>
      <w:pPr>
        <w:numPr>
          <w:ilvl w:val="1"/>
          <w:numId w:val="4"/>
        </w:numPr>
      </w:pPr>
      <w:r>
        <w:rPr/>
        <w:t>Inspection : absence de cicatrice abdominale antérieure (</w:t>
      </w:r>
      <w:r>
        <w:rPr>
          <w:i/>
        </w:rPr>
        <w:t>n’a pas encore été opéré)</w:t>
      </w:r>
    </w:p>
    <w:p>
      <w:pPr>
        <w:numPr>
          <w:ilvl w:val="1"/>
          <w:numId w:val="4"/>
        </w:numPr>
      </w:pPr>
      <w:r>
        <w:rPr/>
        <w:t>Palpation : zone douloureuse dans la région du point de Mac Burney (union du 1/3 externe et des 2/3 internes de la ligne EIAS-Ombilic)</w:t>
      </w:r>
    </w:p>
    <w:p>
      <w:pPr>
        <w:numPr>
          <w:ilvl w:val="2"/>
          <w:numId w:val="4"/>
        </w:numPr>
      </w:pPr>
      <w:r>
        <w:rPr/>
        <w:t>Ou simple douleur provoquée à la défense localisée</w:t>
      </w:r>
    </w:p>
    <w:p>
      <w:pPr>
        <w:numPr>
          <w:ilvl w:val="2"/>
          <w:numId w:val="4"/>
        </w:numPr>
      </w:pPr>
      <w:r>
        <w:rPr/>
        <w:t xml:space="preserve">Signe de </w:t>
      </w:r>
      <w:r>
        <w:rPr/>
        <w:t>Rowding</w:t>
      </w:r>
      <w:r>
        <w:rPr/>
        <w:t xml:space="preserve"> : douleur ressentie par la décompression de la FID</w:t>
      </w:r>
    </w:p>
    <w:p>
      <w:pPr>
        <w:numPr>
          <w:ilvl w:val="2"/>
          <w:numId w:val="4"/>
        </w:numPr>
      </w:pPr>
      <w:r>
        <w:rPr/>
        <w:t xml:space="preserve">Signe de </w:t>
      </w:r>
      <w:r>
        <w:rPr/>
        <w:t>Blumberg</w:t>
      </w:r>
      <w:r>
        <w:rPr/>
        <w:t xml:space="preserve"> : douleur ressentie à la compression de la FIG (</w:t>
      </w:r>
      <w:r>
        <w:rPr>
          <w:i/>
        </w:rPr>
        <w:t>compression des organes de la FIG mobilisés vers la droite -&gt; douleur de la FID)</w:t>
      </w:r>
    </w:p>
    <w:p>
      <w:pPr>
        <w:numPr>
          <w:ilvl w:val="1"/>
          <w:numId w:val="4"/>
        </w:numPr>
      </w:pPr>
      <w:r>
        <w:rPr/>
        <w:t>Toucher pelvien : douleur à bout des doigts en haut et à droite, vérifie l’intégrité des annexes chez la femme</w:t>
      </w:r>
    </w:p>
    <w:p>
      <w:pPr>
        <w:pStyle w:val="Heading4"/>
      </w:pPr>
      <w:r>
        <w:rPr/>
        <w:t>Examens complémentaires</w:t>
      </w:r>
    </w:p>
    <w:p>
      <w:pPr>
        <w:numPr>
          <w:ilvl w:val="1"/>
          <w:numId w:val="4"/>
        </w:numPr>
      </w:pPr>
      <w:r>
        <w:rPr/>
        <w:t xml:space="preserve">NFS </w:t>
      </w:r>
      <w:r>
        <w:rPr>
          <w:i/>
        </w:rPr>
        <w:t>(= Numération-Formule sanguine, numération et formule sanguine; fa tsy numération de la formule sanguine)</w:t>
      </w:r>
    </w:p>
    <w:p>
      <w:pPr>
        <w:numPr>
          <w:ilvl w:val="2"/>
          <w:numId w:val="4"/>
        </w:numPr>
      </w:pPr>
      <w:r>
        <w:rPr/>
        <w:t xml:space="preserve">Hyperleucocytose supérieure à 10.000 GB </w:t>
      </w:r>
      <w:r>
        <w:rPr>
          <w:i/>
        </w:rPr>
        <w:t xml:space="preserve">avec à la formule : </w:t>
      </w:r>
      <w:r>
        <w:rPr/>
        <w:t>polynucléose neutrophile : c’est un signe qui a sa grande valeur diagnostique dans un tableau d’appendicite aiguë non compliquée</w:t>
      </w:r>
    </w:p>
    <w:p>
      <w:pPr>
        <w:numPr>
          <w:ilvl w:val="1"/>
          <w:numId w:val="4"/>
        </w:numPr>
      </w:pPr>
      <w:r>
        <w:rPr/>
        <w:t>Radiographie ASP :</w:t>
      </w:r>
    </w:p>
    <w:p>
      <w:pPr>
        <w:numPr>
          <w:ilvl w:val="2"/>
          <w:numId w:val="4"/>
        </w:numPr>
      </w:pPr>
      <w:r>
        <w:rPr/>
        <w:t>Normale ou</w:t>
      </w:r>
    </w:p>
    <w:p>
      <w:pPr>
        <w:numPr>
          <w:ilvl w:val="2"/>
          <w:numId w:val="4"/>
        </w:numPr>
      </w:pPr>
      <w:r>
        <w:rPr/>
        <w:t>Discret iléus à droite ou</w:t>
      </w:r>
    </w:p>
    <w:p>
      <w:pPr>
        <w:numPr>
          <w:ilvl w:val="2"/>
          <w:numId w:val="4"/>
        </w:numPr>
      </w:pPr>
      <w:r>
        <w:rPr/>
        <w:t>Image de coprolithes (</w:t>
      </w:r>
      <w:r>
        <w:rPr>
          <w:i/>
        </w:rPr>
        <w:t>calcification des matières fécales)</w:t>
      </w:r>
      <w:r>
        <w:rPr/>
        <w:t xml:space="preserve"> </w:t>
      </w:r>
    </w:p>
    <w:p>
      <w:pPr>
        <w:numPr>
          <w:ilvl w:val="1"/>
          <w:numId w:val="4"/>
        </w:numPr>
      </w:pPr>
      <w:r>
        <w:rPr/>
        <w:t>Laparoscopie ou coelioscopie : geste diagnostique et thérapeutique d’emblée</w:t>
      </w:r>
    </w:p>
    <w:p>
      <w:pPr/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Selon le siège : cf anapath</w:t>
      </w:r>
    </w:p>
    <w:p>
      <w:pPr>
        <w:pStyle w:val="Heading4"/>
      </w:pPr>
      <w:r>
        <w:rPr/>
        <w:t>Formes graves</w:t>
      </w:r>
    </w:p>
    <w:p>
      <w:pPr>
        <w:numPr>
          <w:ilvl w:val="1"/>
          <w:numId w:val="5"/>
        </w:numPr>
      </w:pPr>
      <w:r>
        <w:rPr>
          <w:b/>
        </w:rPr>
        <w:t xml:space="preserve">Péritonite purulente généralisée d’emblée </w:t>
      </w:r>
    </w:p>
    <w:p>
      <w:pPr>
        <w:numPr>
          <w:ilvl w:val="2"/>
          <w:numId w:val="5"/>
        </w:numPr>
      </w:pPr>
      <w:r>
        <w:rPr/>
        <w:t>Début brutal à la FID</w:t>
      </w:r>
    </w:p>
    <w:p>
      <w:pPr>
        <w:numPr>
          <w:ilvl w:val="2"/>
          <w:numId w:val="5"/>
        </w:numPr>
      </w:pPr>
      <w:r>
        <w:rPr/>
        <w:t xml:space="preserve">Signes infectieux sévères (fièvre +++, </w:t>
      </w:r>
      <w:r>
        <w:rPr/>
        <w:t>hyperleucocytos</w:t>
      </w:r>
      <w:r>
        <w:rPr/>
        <w:t>)</w:t>
      </w:r>
    </w:p>
    <w:p>
      <w:pPr>
        <w:numPr>
          <w:ilvl w:val="2"/>
          <w:numId w:val="5"/>
        </w:numPr>
      </w:pPr>
      <w:r>
        <w:rPr/>
        <w:t>Examen :</w:t>
      </w:r>
    </w:p>
    <w:p>
      <w:pPr>
        <w:numPr>
          <w:ilvl w:val="3"/>
          <w:numId w:val="5"/>
        </w:numPr>
      </w:pPr>
      <w:r>
        <w:rPr/>
        <w:t>Défense généralisée voire contracture</w:t>
      </w:r>
    </w:p>
    <w:p>
      <w:pPr>
        <w:numPr>
          <w:ilvl w:val="3"/>
          <w:numId w:val="5"/>
        </w:numPr>
      </w:pPr>
      <w:r>
        <w:rPr/>
        <w:t>Toucher pelvien : douleur du Douglas</w:t>
      </w:r>
    </w:p>
    <w:p>
      <w:pPr>
        <w:numPr>
          <w:ilvl w:val="3"/>
          <w:numId w:val="5"/>
        </w:numPr>
      </w:pPr>
      <w:r>
        <w:rPr/>
        <w:t>ASP : iléus réflexe à la FID</w:t>
      </w:r>
    </w:p>
    <w:p>
      <w:pPr>
        <w:numPr>
          <w:ilvl w:val="3"/>
          <w:numId w:val="5"/>
        </w:numPr>
      </w:pPr>
      <w:r>
        <w:rPr/>
        <w:t>Rechercher la présence d’une péritonite putride par perforation d’un appendice gangréneux</w:t>
      </w:r>
    </w:p>
    <w:p>
      <w:pPr>
        <w:numPr>
          <w:ilvl w:val="1"/>
          <w:numId w:val="5"/>
        </w:numPr>
      </w:pPr>
      <w:r>
        <w:rPr>
          <w:b/>
        </w:rPr>
        <w:t xml:space="preserve">Péritonite en 2 temps par diffusion ou perforation secondaire, </w:t>
      </w:r>
      <w:r>
        <w:rPr/>
        <w:t xml:space="preserve">le tableau survient après une crise appendiculaire plus ou moins typique qui a </w:t>
      </w:r>
      <w:r>
        <w:rPr/>
        <w:t>regressé</w:t>
      </w:r>
    </w:p>
    <w:p>
      <w:pPr>
        <w:numPr>
          <w:ilvl w:val="1"/>
          <w:numId w:val="5"/>
        </w:numPr>
      </w:pPr>
      <w:r>
        <w:rPr>
          <w:b/>
        </w:rPr>
        <w:t xml:space="preserve">Péritonite plastique localisée et abcès appendiculaire : </w:t>
      </w:r>
      <w:r>
        <w:rPr/>
        <w:t xml:space="preserve">Caractère </w:t>
      </w:r>
      <w:r>
        <w:rPr/>
        <w:t>sub-aigu</w:t>
      </w:r>
      <w:r>
        <w:rPr/>
        <w:t xml:space="preserve"> de l’infection, mode évolutif habituel de l’appendicite négligée ou méconnue de l’adulte</w:t>
      </w:r>
    </w:p>
    <w:p>
      <w:pPr>
        <w:numPr>
          <w:ilvl w:val="2"/>
          <w:numId w:val="5"/>
        </w:numPr>
      </w:pPr>
      <w:r>
        <w:rPr/>
        <w:t>Évolution favorisée par une antibiothérapie intempestive</w:t>
      </w:r>
    </w:p>
    <w:p>
      <w:pPr>
        <w:numPr>
          <w:ilvl w:val="2"/>
          <w:numId w:val="5"/>
        </w:numPr>
      </w:pPr>
      <w:r>
        <w:rPr/>
        <w:t>Clinique :</w:t>
      </w:r>
    </w:p>
    <w:p>
      <w:pPr>
        <w:numPr>
          <w:ilvl w:val="3"/>
          <w:numId w:val="5"/>
        </w:numPr>
      </w:pPr>
      <w:r>
        <w:rPr/>
        <w:t>Douleur vive</w:t>
      </w:r>
    </w:p>
    <w:p>
      <w:pPr>
        <w:numPr>
          <w:ilvl w:val="3"/>
          <w:numId w:val="5"/>
        </w:numPr>
      </w:pPr>
      <w:r>
        <w:rPr/>
        <w:t>Signe infectieux+++ avec T° à 39°C, tachycardie, leucocytose élevée</w:t>
      </w:r>
    </w:p>
    <w:p>
      <w:pPr>
        <w:numPr>
          <w:ilvl w:val="3"/>
          <w:numId w:val="5"/>
        </w:numPr>
      </w:pPr>
      <w:r>
        <w:rPr/>
        <w:t>Examen :</w:t>
      </w:r>
    </w:p>
    <w:p>
      <w:pPr>
        <w:numPr>
          <w:ilvl w:val="4"/>
          <w:numId w:val="5"/>
        </w:numPr>
      </w:pPr>
      <w:r>
        <w:rPr/>
        <w:t>Tuméfaction douloureuse et mal limitée de la FID donnant une sensation de blindage doublant la paroi -&gt;</w:t>
      </w:r>
      <w:r>
        <w:rPr>
          <w:b/>
        </w:rPr>
        <w:t xml:space="preserve"> </w:t>
      </w:r>
      <w:r>
        <w:rPr>
          <w:b/>
          <w:color w:val="FF0000"/>
        </w:rPr>
        <w:t>plastron</w:t>
      </w:r>
      <w:r>
        <w:rPr>
          <w:b/>
          <w:color w:val="000000"/>
        </w:rPr>
        <w:t xml:space="preserve">, </w:t>
      </w:r>
      <w:r>
        <w:rPr>
          <w:color w:val="000000"/>
        </w:rPr>
        <w:t>avec défense localisée</w:t>
      </w:r>
    </w:p>
    <w:p>
      <w:pPr>
        <w:numPr>
          <w:ilvl w:val="2"/>
          <w:numId w:val="5"/>
        </w:numPr>
      </w:pPr>
      <w:r>
        <w:rPr>
          <w:color w:val="000000"/>
        </w:rPr>
        <w:t>Radiographie : niveau liquide à la FID</w:t>
      </w:r>
    </w:p>
    <w:p>
      <w:pPr>
        <w:numPr>
          <w:ilvl w:val="1"/>
          <w:numId w:val="5"/>
        </w:numPr>
      </w:pPr>
      <w:r>
        <w:rPr>
          <w:b/>
        </w:rPr>
        <w:t xml:space="preserve">Forme avec abcès à distance : </w:t>
      </w:r>
      <w:r>
        <w:rPr/>
        <w:t>par exemple abcès hépatique après appendicite négligée ou refroidie par des appendicites</w:t>
      </w:r>
    </w:p>
    <w:p>
      <w:pPr>
        <w:pStyle w:val="Heading4"/>
      </w:pPr>
      <w:r>
        <w:rPr/>
        <w:t>Formes selon le terrain :</w:t>
      </w:r>
    </w:p>
    <w:p>
      <w:pPr>
        <w:numPr>
          <w:ilvl w:val="1"/>
          <w:numId w:val="5"/>
        </w:numPr>
      </w:pPr>
      <w:r>
        <w:rPr>
          <w:b/>
        </w:rPr>
        <w:t xml:space="preserve">Appendicite de l’enfant : </w:t>
      </w:r>
      <w:r>
        <w:rPr/>
        <w:t xml:space="preserve">sous forme de rhino-pharyngite avec attitude caractéristique en </w:t>
      </w:r>
      <w:r>
        <w:rPr>
          <w:b/>
          <w:u w:val="single"/>
        </w:rPr>
        <w:t>psoïtis</w:t>
      </w:r>
      <w:r>
        <w:rPr/>
        <w:t xml:space="preserve"> (demi-flexion de la cuisse sur la hanche </w:t>
      </w:r>
      <w:r>
        <w:rPr>
          <w:i/>
        </w:rPr>
        <w:t xml:space="preserve">par inflammation du psoas), </w:t>
      </w:r>
      <w:r>
        <w:rPr/>
        <w:t>RCP normal et tympan normal</w:t>
      </w:r>
    </w:p>
    <w:p>
      <w:pPr>
        <w:numPr>
          <w:ilvl w:val="2"/>
          <w:numId w:val="5"/>
        </w:numPr>
      </w:pPr>
      <w:r>
        <w:rPr/>
        <w:t>Crise appendiculaire +/- typique</w:t>
      </w:r>
    </w:p>
    <w:p>
      <w:pPr>
        <w:numPr>
          <w:ilvl w:val="2"/>
          <w:numId w:val="5"/>
        </w:numPr>
      </w:pPr>
      <w:r>
        <w:rPr/>
        <w:t xml:space="preserve">Appendicite toxique de Dieulafoy : prostration, </w:t>
      </w:r>
      <w:r>
        <w:rPr/>
        <w:t>fascies</w:t>
      </w:r>
      <w:r>
        <w:rPr/>
        <w:t xml:space="preserve"> altéré, pouls accéléré, syndrome hémorragique</w:t>
      </w:r>
    </w:p>
    <w:p>
      <w:pPr>
        <w:numPr>
          <w:ilvl w:val="1"/>
          <w:numId w:val="5"/>
        </w:numPr>
      </w:pPr>
      <w:r>
        <w:rPr/>
        <w:t>Appendicite du nourrisson : exceptionnelle.</w:t>
      </w:r>
    </w:p>
    <w:p>
      <w:pPr>
        <w:numPr>
          <w:ilvl w:val="2"/>
          <w:numId w:val="5"/>
        </w:numPr>
      </w:pPr>
      <w:r>
        <w:rPr/>
        <w:t>Très grave, 50% de mortalité avant 6 mois car retard diagnostique</w:t>
      </w:r>
    </w:p>
    <w:p>
      <w:pPr>
        <w:numPr>
          <w:ilvl w:val="1"/>
          <w:numId w:val="5"/>
        </w:numPr>
      </w:pPr>
      <w:r>
        <w:rPr>
          <w:b/>
        </w:rPr>
        <w:t>Appendicite de la femme enceinte :</w:t>
      </w:r>
    </w:p>
    <w:p>
      <w:pPr>
        <w:numPr>
          <w:ilvl w:val="2"/>
          <w:numId w:val="5"/>
        </w:numPr>
      </w:pPr>
      <w:r>
        <w:rPr/>
        <w:t>La grossesse peut modifier les signes de l’appendicite; l’appendicite peut retentir sur la grossesse</w:t>
      </w:r>
    </w:p>
    <w:p>
      <w:pPr>
        <w:numPr>
          <w:ilvl w:val="2"/>
          <w:numId w:val="5"/>
        </w:numPr>
      </w:pPr>
      <w:r>
        <w:rPr/>
        <w:t>Le diagnostic différentiel est celui de la pyélonéphrite aiguë</w:t>
      </w:r>
    </w:p>
    <w:p>
      <w:pPr>
        <w:numPr>
          <w:ilvl w:val="1"/>
          <w:numId w:val="5"/>
        </w:numPr>
      </w:pPr>
      <w:r>
        <w:rPr>
          <w:b/>
        </w:rPr>
        <w:t xml:space="preserve">Appendicite du vieillard : </w:t>
      </w:r>
      <w:r>
        <w:rPr/>
        <w:t>grave</w:t>
      </w:r>
    </w:p>
    <w:p>
      <w:pPr>
        <w:numPr>
          <w:ilvl w:val="2"/>
          <w:numId w:val="5"/>
        </w:numPr>
      </w:pPr>
      <w:r>
        <w:rPr/>
        <w:t>Endolorissement de la FID</w:t>
      </w:r>
    </w:p>
    <w:p>
      <w:pPr>
        <w:numPr>
          <w:ilvl w:val="2"/>
          <w:numId w:val="5"/>
        </w:numPr>
      </w:pPr>
      <w:r>
        <w:rPr/>
        <w:t>Anorexie</w:t>
      </w:r>
    </w:p>
    <w:p>
      <w:pPr>
        <w:numPr>
          <w:ilvl w:val="2"/>
          <w:numId w:val="5"/>
        </w:numPr>
      </w:pPr>
      <w:r>
        <w:rPr/>
        <w:t>Constipation</w:t>
      </w:r>
    </w:p>
    <w:p>
      <w:pPr>
        <w:numPr>
          <w:ilvl w:val="2"/>
          <w:numId w:val="5"/>
        </w:numPr>
      </w:pPr>
      <w:r>
        <w:rPr/>
        <w:t>T° et GB souvent normaux</w:t>
      </w:r>
    </w:p>
    <w:p>
      <w:pPr>
        <w:numPr>
          <w:ilvl w:val="2"/>
          <w:numId w:val="5"/>
        </w:numPr>
      </w:pPr>
      <w:r>
        <w:rPr/>
        <w:t>Occlusion fébrile</w:t>
      </w:r>
    </w:p>
    <w:p>
      <w:pPr>
        <w:numPr>
          <w:ilvl w:val="2"/>
          <w:numId w:val="5"/>
        </w:numPr>
      </w:pPr>
      <w:r>
        <w:rPr/>
        <w:t xml:space="preserve">Tumeur inflammatoire du </w:t>
      </w:r>
      <w:r>
        <w:rPr/>
        <w:t>caecum</w:t>
      </w:r>
      <w:r>
        <w:rPr/>
        <w:t xml:space="preserve"> simulant un cancer abcédé</w:t>
      </w:r>
    </w:p>
    <w:p>
      <w:pPr>
        <w:pStyle w:val="Heading4"/>
      </w:pPr>
      <w:r>
        <w:rPr/>
        <w:t>Formes rares :</w:t>
      </w:r>
    </w:p>
    <w:p>
      <w:pPr>
        <w:numPr>
          <w:ilvl w:val="1"/>
          <w:numId w:val="5"/>
        </w:numPr>
      </w:pPr>
      <w:r>
        <w:rPr/>
        <w:t xml:space="preserve">Appendicite et hernie (hernie de LITTRE) ou </w:t>
      </w:r>
      <w:r>
        <w:rPr>
          <w:i/>
        </w:rPr>
        <w:t>hernie d’AMYAND (association, la hernie se trouve dans le sac herniaire)</w:t>
      </w:r>
    </w:p>
    <w:p>
      <w:pPr>
        <w:numPr>
          <w:ilvl w:val="1"/>
          <w:numId w:val="5"/>
        </w:numPr>
      </w:pPr>
      <w:r>
        <w:rPr/>
        <w:t>Agénésie</w:t>
      </w:r>
      <w:r>
        <w:rPr/>
        <w:t xml:space="preserve"> de l’appendice</w:t>
      </w:r>
    </w:p>
    <w:p>
      <w:pPr>
        <w:pStyle w:val="Heading4"/>
      </w:pPr>
      <w:r>
        <w:rPr/>
        <w:t>Formes topographiques</w:t>
      </w:r>
    </w:p>
    <w:p>
      <w:pPr>
        <w:numPr>
          <w:ilvl w:val="1"/>
          <w:numId w:val="5"/>
        </w:numPr>
      </w:pPr>
      <w:r>
        <w:rPr/>
        <w:t>Appendicite sous-hépatique -&gt; comme une cholécystite</w:t>
      </w:r>
    </w:p>
    <w:p>
      <w:pPr>
        <w:numPr>
          <w:ilvl w:val="1"/>
          <w:numId w:val="5"/>
        </w:numPr>
      </w:pPr>
      <w:r>
        <w:rPr/>
        <w:t>Appendicite pelvienne -&gt; signes urinaires +++ ou signes digestifs type ténesme</w:t>
      </w:r>
    </w:p>
    <w:p>
      <w:pPr>
        <w:numPr>
          <w:ilvl w:val="1"/>
          <w:numId w:val="5"/>
        </w:numPr>
      </w:pPr>
      <w:r>
        <w:rPr/>
        <w:t xml:space="preserve">Si anomalie de </w:t>
      </w:r>
      <w:r>
        <w:rPr/>
        <w:t>situatin</w:t>
      </w:r>
      <w:r>
        <w:rPr/>
        <w:t xml:space="preserve"> de l’appendice par rapport au bas fond caecal :</w:t>
      </w:r>
    </w:p>
    <w:p>
      <w:pPr>
        <w:numPr>
          <w:ilvl w:val="2"/>
          <w:numId w:val="5"/>
        </w:numPr>
      </w:pPr>
      <w:r>
        <w:rPr/>
        <w:t xml:space="preserve">-&gt; appendicite </w:t>
      </w:r>
      <w:r>
        <w:rPr/>
        <w:t>mésocoeliaque</w:t>
      </w:r>
      <w:r>
        <w:rPr/>
        <w:t xml:space="preserve"> = TR : douleur </w:t>
      </w:r>
      <w:r>
        <w:rPr/>
        <w:t>pré-rectale</w:t>
      </w:r>
    </w:p>
    <w:p>
      <w:pPr>
        <w:numPr>
          <w:ilvl w:val="2"/>
          <w:numId w:val="5"/>
        </w:numPr>
      </w:pPr>
      <w:r>
        <w:rPr/>
        <w:t>-&gt; appendicite rétro-caecale (</w:t>
      </w:r>
      <w:r>
        <w:rPr>
          <w:i/>
        </w:rPr>
        <w:t>fréquent, difficile à enlever)</w:t>
      </w:r>
    </w:p>
    <w:p>
      <w:pPr/>
    </w:p>
    <w:p>
      <w:pPr>
        <w:pStyle w:val="Heading2"/>
      </w:pPr>
      <w:r>
        <w:rPr/>
        <w:t>DIAGNOSTIC DIFFERENTIEL</w:t>
      </w:r>
    </w:p>
    <w:p>
      <w:pPr>
        <w:pStyle w:val="Heading3"/>
      </w:pPr>
      <w:r>
        <w:rPr/>
        <w:t>Stade pré-opératoire :</w:t>
      </w:r>
    </w:p>
    <w:p>
      <w:pPr>
        <w:numPr>
          <w:ilvl w:val="1"/>
          <w:numId w:val="6"/>
        </w:numPr>
      </w:pPr>
      <w:r>
        <w:rPr/>
        <w:t>Affection urinaire :</w:t>
      </w:r>
    </w:p>
    <w:p>
      <w:pPr>
        <w:numPr>
          <w:ilvl w:val="2"/>
          <w:numId w:val="6"/>
        </w:numPr>
      </w:pPr>
      <w:r>
        <w:rPr/>
        <w:t>Colique néphrétique droite</w:t>
      </w:r>
    </w:p>
    <w:p>
      <w:pPr>
        <w:numPr>
          <w:ilvl w:val="2"/>
          <w:numId w:val="6"/>
        </w:numPr>
      </w:pPr>
      <w:r>
        <w:rPr/>
        <w:t>ASP : lithiase</w:t>
      </w:r>
    </w:p>
    <w:p>
      <w:pPr>
        <w:numPr>
          <w:ilvl w:val="2"/>
          <w:numId w:val="6"/>
        </w:numPr>
      </w:pPr>
      <w:r>
        <w:rPr/>
        <w:t xml:space="preserve">Echographie : dilatation </w:t>
      </w:r>
      <w:r>
        <w:rPr/>
        <w:t>pyélo-calicielle</w:t>
      </w:r>
    </w:p>
    <w:p>
      <w:pPr>
        <w:numPr>
          <w:ilvl w:val="1"/>
          <w:numId w:val="6"/>
        </w:numPr>
      </w:pPr>
      <w:r>
        <w:rPr/>
        <w:t>Affection gynécologique :</w:t>
      </w:r>
    </w:p>
    <w:p>
      <w:pPr>
        <w:numPr>
          <w:ilvl w:val="2"/>
          <w:numId w:val="6"/>
        </w:numPr>
      </w:pPr>
      <w:r>
        <w:rPr/>
        <w:t>Salpingite</w:t>
      </w:r>
    </w:p>
    <w:p>
      <w:pPr>
        <w:numPr>
          <w:ilvl w:val="2"/>
          <w:numId w:val="6"/>
        </w:numPr>
      </w:pPr>
      <w:r>
        <w:rPr/>
        <w:t>Kyste ovarien</w:t>
      </w:r>
    </w:p>
    <w:p>
      <w:pPr>
        <w:numPr>
          <w:ilvl w:val="2"/>
          <w:numId w:val="6"/>
        </w:numPr>
      </w:pPr>
      <w:r>
        <w:rPr/>
        <w:t>GEU</w:t>
      </w:r>
      <w:r>
        <w:rPr/>
        <w:br/>
      </w:r>
      <w:r>
        <w:rPr/>
        <w:br/>
        <w:t>Echographie va donner le diagnostic positif</w:t>
      </w:r>
    </w:p>
    <w:p>
      <w:pPr>
        <w:numPr>
          <w:ilvl w:val="1"/>
          <w:numId w:val="6"/>
        </w:numPr>
      </w:pPr>
      <w:r>
        <w:rPr/>
        <w:t>Sigmoïdite</w:t>
      </w:r>
    </w:p>
    <w:p>
      <w:pPr>
        <w:numPr>
          <w:ilvl w:val="1"/>
          <w:numId w:val="6"/>
        </w:numPr>
      </w:pPr>
      <w:r>
        <w:rPr/>
        <w:t>Cancer du rectum</w:t>
      </w:r>
    </w:p>
    <w:p>
      <w:pPr>
        <w:numPr>
          <w:ilvl w:val="1"/>
          <w:numId w:val="6"/>
        </w:numPr>
      </w:pPr>
      <w:r>
        <w:rPr/>
        <w:t>Parasitoses chez l’enfant</w:t>
      </w:r>
    </w:p>
    <w:p>
      <w:pPr>
        <w:pStyle w:val="Heading3"/>
      </w:pPr>
      <w:r>
        <w:rPr/>
        <w:t>Pendant l’intervention</w:t>
      </w:r>
    </w:p>
    <w:p>
      <w:pPr>
        <w:numPr>
          <w:ilvl w:val="1"/>
          <w:numId w:val="6"/>
        </w:numPr>
      </w:pPr>
      <w:r>
        <w:rPr/>
        <w:t>Lésion du carrefour iléo-caecal</w:t>
      </w:r>
    </w:p>
    <w:p>
      <w:pPr>
        <w:numPr>
          <w:ilvl w:val="1"/>
          <w:numId w:val="6"/>
        </w:numPr>
      </w:pPr>
      <w:r>
        <w:rPr/>
        <w:t>Iléite de CROHN (</w:t>
      </w:r>
      <w:r>
        <w:rPr>
          <w:i/>
        </w:rPr>
        <w:t>maladie de Crohn)</w:t>
      </w:r>
    </w:p>
    <w:p>
      <w:pPr>
        <w:numPr>
          <w:ilvl w:val="1"/>
          <w:numId w:val="6"/>
        </w:numPr>
      </w:pPr>
      <w:r>
        <w:rPr/>
        <w:t>Yerseniose</w:t>
      </w:r>
      <w:r>
        <w:rPr/>
        <w:t xml:space="preserve"> -&gt; anapath </w:t>
      </w:r>
      <w:r>
        <w:rPr>
          <w:i/>
        </w:rPr>
        <w:t>donnera le diagnostic</w:t>
      </w:r>
    </w:p>
    <w:p>
      <w:pPr>
        <w:numPr>
          <w:ilvl w:val="1"/>
          <w:numId w:val="6"/>
        </w:numPr>
      </w:pPr>
      <w:r>
        <w:rPr/>
        <w:t>Adéno-lymphite</w:t>
      </w:r>
      <w:r>
        <w:rPr/>
        <w:t xml:space="preserve"> mésentérique (</w:t>
      </w:r>
      <w:r>
        <w:rPr>
          <w:i/>
        </w:rPr>
        <w:t>grippe)</w:t>
      </w:r>
    </w:p>
    <w:p>
      <w:pPr>
        <w:numPr>
          <w:ilvl w:val="1"/>
          <w:numId w:val="6"/>
        </w:numPr>
      </w:pPr>
      <w:r>
        <w:rPr/>
        <w:t xml:space="preserve">Mucocèle appendiculaire </w:t>
      </w:r>
      <w:r>
        <w:rPr>
          <w:b/>
        </w:rPr>
        <w:t>(1h11)</w:t>
      </w:r>
    </w:p>
    <w:p>
      <w:pPr>
        <w:numPr>
          <w:ilvl w:val="1"/>
          <w:numId w:val="6"/>
        </w:numPr>
      </w:pPr>
      <w:r>
        <w:rPr/>
        <w:t xml:space="preserve">Lésion appendiculaire de </w:t>
      </w:r>
      <w:r>
        <w:rPr/>
        <w:t>contiguité</w:t>
      </w:r>
      <w:r>
        <w:rPr/>
        <w:t xml:space="preserve"> (flirt </w:t>
      </w:r>
      <w:r>
        <w:rPr/>
        <w:t>appendiculo</w:t>
      </w:r>
      <w:r>
        <w:rPr/>
        <w:t xml:space="preserve">-ovarien : </w:t>
      </w:r>
      <w:r>
        <w:rPr>
          <w:i/>
        </w:rPr>
        <w:t>ovaire malade, entraîne également une maladie chez l’appendice)</w:t>
      </w:r>
    </w:p>
    <w:p>
      <w:pPr>
        <w:pStyle w:val="Heading3"/>
      </w:pPr>
      <w:r>
        <w:rPr/>
        <w:t>Stade post-opératoire</w:t>
      </w:r>
    </w:p>
    <w:p>
      <w:pPr>
        <w:numPr>
          <w:ilvl w:val="1"/>
          <w:numId w:val="6"/>
        </w:numPr>
      </w:pPr>
      <w:r>
        <w:rPr/>
        <w:t>Après examen histologique de la pièce opératoire</w:t>
      </w:r>
    </w:p>
    <w:p>
      <w:pPr>
        <w:numPr>
          <w:ilvl w:val="2"/>
          <w:numId w:val="6"/>
        </w:numPr>
      </w:pPr>
      <w:r>
        <w:rPr/>
        <w:t>Carcinoïde</w:t>
      </w:r>
    </w:p>
    <w:p>
      <w:pPr>
        <w:numPr>
          <w:ilvl w:val="2"/>
          <w:numId w:val="6"/>
        </w:numPr>
      </w:pPr>
      <w:r>
        <w:rPr/>
        <w:t>Adénocarcinome de l’appendice</w:t>
      </w:r>
    </w:p>
    <w:p>
      <w:pPr/>
    </w:p>
    <w:p>
      <w:pPr>
        <w:pStyle w:val="Heading2"/>
      </w:pPr>
      <w:r>
        <w:rPr/>
        <w:t>COMPLICATIONS</w:t>
      </w:r>
    </w:p>
    <w:p>
      <w:pPr>
        <w:pStyle w:val="Heading3"/>
      </w:pPr>
      <w:r>
        <w:rPr/>
        <w:t>PLASTRON : seule appendicite à ne pas opérer d’emblée : après 3 à 4 mois, traitement médical d’abord</w:t>
      </w:r>
    </w:p>
    <w:p>
      <w:pPr>
        <w:numPr>
          <w:ilvl w:val="1"/>
          <w:numId w:val="7"/>
        </w:numPr>
      </w:pPr>
      <w:r>
        <w:rPr/>
        <w:t>Blindage au niveau de la FID</w:t>
      </w:r>
    </w:p>
    <w:p>
      <w:pPr>
        <w:numPr>
          <w:ilvl w:val="1"/>
          <w:numId w:val="7"/>
        </w:numPr>
      </w:pPr>
      <w:r>
        <w:rPr/>
        <w:t>NFS : hyperleucocytose &gt; 10.000 GB</w:t>
      </w:r>
    </w:p>
    <w:p>
      <w:pPr>
        <w:numPr>
          <w:ilvl w:val="1"/>
          <w:numId w:val="7"/>
        </w:numPr>
      </w:pPr>
      <w:r>
        <w:rPr/>
        <w:t xml:space="preserve">ASP : </w:t>
      </w:r>
      <w:r>
        <w:rPr/>
        <w:t>hyperclarté</w:t>
      </w:r>
      <w:r>
        <w:rPr/>
        <w:t xml:space="preserve"> gazeuse extra-digestive au sein d’une opacité liquidienne : </w:t>
      </w:r>
      <w:r>
        <w:rPr>
          <w:b/>
        </w:rPr>
        <w:t>signe pathognomonique du Plastron</w:t>
      </w:r>
    </w:p>
    <w:p>
      <w:pPr>
        <w:numPr>
          <w:ilvl w:val="1"/>
          <w:numId w:val="7"/>
        </w:numPr>
      </w:pPr>
      <w:r>
        <w:rPr/>
        <w:t>Diagnostic différentiel :</w:t>
      </w:r>
    </w:p>
    <w:p>
      <w:pPr>
        <w:numPr>
          <w:ilvl w:val="2"/>
          <w:numId w:val="7"/>
        </w:numPr>
      </w:pPr>
      <w:r>
        <w:rPr/>
        <w:t>Masse de la FID</w:t>
      </w:r>
    </w:p>
    <w:p>
      <w:pPr>
        <w:numPr>
          <w:ilvl w:val="2"/>
          <w:numId w:val="7"/>
        </w:numPr>
      </w:pPr>
      <w:r>
        <w:rPr/>
        <w:t xml:space="preserve">Éliminer le cancer du </w:t>
      </w:r>
      <w:r>
        <w:rPr/>
        <w:t>colon</w:t>
      </w:r>
      <w:r>
        <w:rPr/>
        <w:t xml:space="preserve"> droit</w:t>
      </w:r>
    </w:p>
    <w:p>
      <w:pPr>
        <w:numPr>
          <w:ilvl w:val="2"/>
          <w:numId w:val="7"/>
        </w:numPr>
      </w:pPr>
      <w:r>
        <w:rPr/>
        <w:t>Iléite de Crohn</w:t>
      </w:r>
    </w:p>
    <w:p>
      <w:pPr>
        <w:numPr>
          <w:ilvl w:val="2"/>
          <w:numId w:val="7"/>
        </w:numPr>
      </w:pPr>
      <w:r>
        <w:rPr/>
        <w:t>Kyste de l’ovaire</w:t>
      </w:r>
    </w:p>
    <w:p>
      <w:pPr>
        <w:numPr>
          <w:ilvl w:val="1"/>
          <w:numId w:val="7"/>
        </w:numPr>
      </w:pPr>
      <w:r>
        <w:rPr/>
        <w:t>Devant un abcès du Douglas -&gt; éliminer une pelvipéritonite d’origine génitale</w:t>
      </w:r>
    </w:p>
    <w:p>
      <w:pPr>
        <w:numPr>
          <w:ilvl w:val="1"/>
          <w:numId w:val="7"/>
        </w:numPr>
      </w:pPr>
      <w:r>
        <w:rPr/>
        <w:t>Devant un abcès sous-phrénique -&gt; éliminer une perforation duodénale en péritoine cloisonné</w:t>
      </w:r>
    </w:p>
    <w:p>
      <w:pPr>
        <w:numPr>
          <w:ilvl w:val="0"/>
          <w:numId w:val="7"/>
        </w:numPr>
      </w:pPr>
      <w:r>
        <w:rPr>
          <w:b/>
        </w:rPr>
        <w:t>ABCES APPENDICULAIRE</w:t>
      </w:r>
    </w:p>
    <w:p>
      <w:pPr>
        <w:numPr>
          <w:ilvl w:val="1"/>
          <w:numId w:val="7"/>
        </w:numPr>
      </w:pPr>
      <w:r>
        <w:rPr/>
        <w:t>Complication qui s’installe vers le 4ème -5ème jour au décours d’une crise appendiculaire initiale</w:t>
      </w:r>
    </w:p>
    <w:p>
      <w:pPr>
        <w:numPr>
          <w:ilvl w:val="1"/>
          <w:numId w:val="7"/>
        </w:numPr>
      </w:pPr>
      <w:r>
        <w:rPr/>
        <w:t xml:space="preserve">Signes généraux : </w:t>
      </w:r>
    </w:p>
    <w:p>
      <w:pPr>
        <w:numPr>
          <w:ilvl w:val="2"/>
          <w:numId w:val="7"/>
        </w:numPr>
      </w:pPr>
      <w:r>
        <w:rPr/>
        <w:t>Fièvre à grande oscillation</w:t>
      </w:r>
    </w:p>
    <w:p>
      <w:pPr>
        <w:numPr>
          <w:ilvl w:val="2"/>
          <w:numId w:val="7"/>
        </w:numPr>
      </w:pPr>
      <w:r>
        <w:rPr/>
        <w:t>Frisson</w:t>
      </w:r>
    </w:p>
    <w:p>
      <w:pPr>
        <w:numPr>
          <w:ilvl w:val="2"/>
          <w:numId w:val="7"/>
        </w:numPr>
      </w:pPr>
      <w:r>
        <w:rPr/>
        <w:t>AEG</w:t>
      </w:r>
    </w:p>
    <w:p>
      <w:pPr>
        <w:numPr>
          <w:ilvl w:val="1"/>
          <w:numId w:val="7"/>
        </w:numPr>
      </w:pPr>
      <w:r>
        <w:rPr/>
        <w:t>Signes fonctionnels : douleur pulsatile</w:t>
      </w:r>
    </w:p>
    <w:p>
      <w:pPr>
        <w:numPr>
          <w:ilvl w:val="1"/>
          <w:numId w:val="7"/>
        </w:numPr>
      </w:pPr>
      <w:r>
        <w:rPr/>
        <w:t>Signes physique</w:t>
      </w:r>
    </w:p>
    <w:p>
      <w:pPr>
        <w:numPr>
          <w:ilvl w:val="2"/>
          <w:numId w:val="7"/>
        </w:numPr>
      </w:pPr>
      <w:r>
        <w:rPr/>
        <w:t>Le blindage du plastron semble se limiter et il se présente en un point précis une douleur exquise avec un ramollissement en faveur d’une abcédation</w:t>
      </w:r>
    </w:p>
    <w:p>
      <w:pPr>
        <w:numPr>
          <w:ilvl w:val="2"/>
          <w:numId w:val="7"/>
        </w:numPr>
      </w:pPr>
      <w:r>
        <w:rPr/>
        <w:t>GB&gt; 10.000</w:t>
      </w:r>
    </w:p>
    <w:p>
      <w:pPr>
        <w:numPr>
          <w:ilvl w:val="2"/>
          <w:numId w:val="7"/>
        </w:numPr>
      </w:pPr>
      <w:r>
        <w:rPr>
          <w:b/>
        </w:rPr>
        <w:t>“tout plastron qui ne rétrocède pas avec une hyperleucocytose persistante est un abcès collecté”</w:t>
      </w:r>
    </w:p>
    <w:p>
      <w:pPr>
        <w:pStyle w:val="Heading3"/>
      </w:pPr>
      <w:r>
        <w:rPr/>
        <w:t>PERITONITE APPENDICULAIRE</w:t>
      </w:r>
    </w:p>
    <w:p>
      <w:pPr>
        <w:numPr>
          <w:ilvl w:val="1"/>
          <w:numId w:val="7"/>
        </w:numPr>
      </w:pPr>
      <w:r>
        <w:rPr/>
        <w:t>Douleur brutale en coup de poignard au décours d’une appendicite aiguë</w:t>
      </w:r>
    </w:p>
    <w:p>
      <w:pPr>
        <w:numPr>
          <w:ilvl w:val="1"/>
          <w:numId w:val="7"/>
        </w:numPr>
      </w:pPr>
      <w:r>
        <w:rPr/>
        <w:t xml:space="preserve">Signes physiques : </w:t>
      </w:r>
    </w:p>
    <w:p>
      <w:pPr>
        <w:numPr>
          <w:ilvl w:val="2"/>
          <w:numId w:val="7"/>
        </w:numPr>
      </w:pPr>
      <w:r>
        <w:rPr/>
        <w:t>Contracture généralisée de l’abdomen</w:t>
      </w:r>
    </w:p>
    <w:p>
      <w:pPr>
        <w:numPr>
          <w:ilvl w:val="2"/>
          <w:numId w:val="7"/>
        </w:numPr>
      </w:pPr>
      <w:r>
        <w:rPr/>
        <w:t>Douleur maximale à la FID</w:t>
      </w:r>
    </w:p>
    <w:p>
      <w:pPr>
        <w:numPr>
          <w:ilvl w:val="1"/>
          <w:numId w:val="7"/>
        </w:numPr>
      </w:pPr>
      <w:r>
        <w:rPr/>
        <w:t>ASP : pas de pneumopéritoine</w:t>
      </w:r>
    </w:p>
    <w:p>
      <w:pPr>
        <w:numPr>
          <w:ilvl w:val="1"/>
          <w:numId w:val="7"/>
        </w:numPr>
      </w:pPr>
      <w:r>
        <w:rPr>
          <w:b/>
          <w:u w:val="single"/>
        </w:rPr>
        <w:t>TYPES :</w:t>
      </w:r>
    </w:p>
    <w:p>
      <w:pPr>
        <w:numPr>
          <w:ilvl w:val="2"/>
          <w:numId w:val="7"/>
        </w:numPr>
      </w:pPr>
      <w:r>
        <w:rPr>
          <w:b/>
        </w:rPr>
        <w:t xml:space="preserve">Péritonite généralisée d’emblée -&gt; </w:t>
      </w:r>
      <w:r>
        <w:rPr/>
        <w:t>complication révélatrice de l’appendicite aiguë</w:t>
      </w:r>
    </w:p>
    <w:p>
      <w:pPr>
        <w:numPr>
          <w:ilvl w:val="2"/>
          <w:numId w:val="7"/>
        </w:numPr>
      </w:pPr>
      <w:r>
        <w:rPr>
          <w:b/>
        </w:rPr>
        <w:t xml:space="preserve">Péritonite généralisée en 2 temps : </w:t>
      </w:r>
      <w:r>
        <w:rPr/>
        <w:t>perforation secondaire de l’appendice, tableau après une nette accalmie</w:t>
      </w:r>
    </w:p>
    <w:p>
      <w:pPr>
        <w:numPr>
          <w:ilvl w:val="2"/>
          <w:numId w:val="7"/>
        </w:numPr>
      </w:pPr>
      <w:r>
        <w:rPr>
          <w:b/>
        </w:rPr>
        <w:t xml:space="preserve">Péritonite généralisée en 3 temps : </w:t>
      </w:r>
      <w:r>
        <w:rPr/>
        <w:t>la crise d’appendicite aiguë se transforme en plastron qui s’est abcédé, le pus collecté va se diffuser dans la cavité abdominale d’où péritonite aiguë généralisée</w:t>
      </w:r>
    </w:p>
    <w:p>
      <w:pPr>
        <w:pStyle w:val="Heading3"/>
      </w:pPr>
      <w:r>
        <w:rPr/>
        <w:t>OCCLUSION APPENDICULAIRE</w:t>
      </w:r>
    </w:p>
    <w:p>
      <w:pPr>
        <w:numPr>
          <w:ilvl w:val="1"/>
          <w:numId w:val="7"/>
        </w:numPr>
      </w:pPr>
      <w:r>
        <w:rPr/>
        <w:t>Tableau d’occlusion fébrile</w:t>
      </w:r>
    </w:p>
    <w:p>
      <w:pPr/>
    </w:p>
    <w:p>
      <w:pPr>
        <w:pStyle w:val="Heading2"/>
      </w:pPr>
      <w:r>
        <w:rPr/>
        <w:t>TRAITEMENT</w:t>
      </w:r>
    </w:p>
    <w:p>
      <w:pPr/>
      <w:r>
        <w:rPr/>
        <w:t xml:space="preserve">Le traitement est Univoque et chirurgical : il faut toujours opérer et tout de suite </w:t>
      </w:r>
      <w:r>
        <w:rPr>
          <w:b/>
        </w:rPr>
        <w:t>sauf pour le plastron appendiculaire qu’on doit traiter médicalement et opérer dans un délai de 2 à 3 mois</w:t>
      </w:r>
    </w:p>
    <w:p>
      <w:pPr>
        <w:pStyle w:val="Heading3"/>
      </w:pPr>
      <w:r>
        <w:rPr/>
        <w:t>Appendicite aiguë : APPENDICECTOMIE en URGENCE</w:t>
      </w:r>
    </w:p>
    <w:p>
      <w:pPr>
        <w:numPr>
          <w:ilvl w:val="1"/>
          <w:numId w:val="8"/>
        </w:numPr>
      </w:pPr>
      <w:r>
        <w:rPr/>
        <w:t xml:space="preserve">Abord par voie de Mac Burney, ligature du méso et puis de la base de </w:t>
      </w:r>
      <w:r>
        <w:rPr/>
        <w:t>l’appendice ;</w:t>
      </w:r>
      <w:r>
        <w:rPr/>
        <w:t xml:space="preserve"> cette intervention compte un certain nombre de gestes à faire qui sont</w:t>
      </w:r>
    </w:p>
    <w:p>
      <w:pPr>
        <w:numPr>
          <w:ilvl w:val="2"/>
          <w:numId w:val="8"/>
        </w:numPr>
      </w:pPr>
      <w:r>
        <w:rPr/>
        <w:t>Vérification des annexes chez la femme</w:t>
      </w:r>
    </w:p>
    <w:p>
      <w:pPr>
        <w:numPr>
          <w:ilvl w:val="2"/>
          <w:numId w:val="8"/>
        </w:numPr>
      </w:pPr>
      <w:r>
        <w:rPr/>
        <w:t>Vérification de la dernière anse grêle (Crohn) et des 70 derniers cm du grêle (Meckel)</w:t>
      </w:r>
    </w:p>
    <w:p>
      <w:pPr>
        <w:numPr>
          <w:ilvl w:val="2"/>
          <w:numId w:val="8"/>
        </w:numPr>
      </w:pPr>
      <w:r>
        <w:rPr/>
        <w:t>Vérification du mésentère (</w:t>
      </w:r>
      <w:r>
        <w:rPr>
          <w:i/>
        </w:rPr>
        <w:t>présence d’</w:t>
      </w:r>
      <w:r>
        <w:rPr/>
        <w:t>Adénolymphite)</w:t>
      </w:r>
    </w:p>
    <w:p>
      <w:pPr>
        <w:numPr>
          <w:ilvl w:val="2"/>
          <w:numId w:val="8"/>
        </w:numPr>
      </w:pPr>
      <w:r>
        <w:rPr/>
        <w:t>Envoyer la pièce à l’anapath</w:t>
      </w:r>
    </w:p>
    <w:p>
      <w:pPr>
        <w:numPr>
          <w:ilvl w:val="2"/>
          <w:numId w:val="8"/>
        </w:numPr>
      </w:pPr>
      <w:r>
        <w:rPr/>
        <w:t>Reprise alimentaire progressive à 24h ou dès reprise du transit et lever du patient</w:t>
      </w:r>
    </w:p>
    <w:p>
      <w:pPr>
        <w:numPr>
          <w:ilvl w:val="2"/>
          <w:numId w:val="8"/>
        </w:numPr>
      </w:pPr>
      <w:r>
        <w:rPr/>
        <w:t>Régime sans résidu pendant 15 jours</w:t>
      </w:r>
    </w:p>
    <w:p>
      <w:pPr>
        <w:pStyle w:val="Heading3"/>
      </w:pPr>
      <w:r>
        <w:rPr/>
        <w:t xml:space="preserve">Femme enceinte : </w:t>
      </w:r>
    </w:p>
    <w:p>
      <w:pPr>
        <w:numPr>
          <w:ilvl w:val="1"/>
          <w:numId w:val="8"/>
        </w:numPr>
      </w:pPr>
      <w:r>
        <w:rPr/>
        <w:t>Abord iliaque large</w:t>
      </w:r>
    </w:p>
    <w:p>
      <w:pPr>
        <w:numPr>
          <w:ilvl w:val="1"/>
          <w:numId w:val="8"/>
        </w:numPr>
      </w:pPr>
      <w:r>
        <w:rPr/>
        <w:t>Evacuation des collections péri-appendiculaires sans ensemencer la grande cavité abdominale</w:t>
      </w:r>
    </w:p>
    <w:p>
      <w:pPr>
        <w:numPr>
          <w:ilvl w:val="1"/>
          <w:numId w:val="8"/>
        </w:numPr>
      </w:pPr>
      <w:r>
        <w:rPr/>
        <w:t>Libération prudente de l’appendice</w:t>
      </w:r>
    </w:p>
    <w:p>
      <w:pPr>
        <w:numPr>
          <w:ilvl w:val="1"/>
          <w:numId w:val="8"/>
        </w:numPr>
      </w:pPr>
      <w:r>
        <w:rPr/>
        <w:t>Ablation</w:t>
      </w:r>
    </w:p>
    <w:p>
      <w:pPr>
        <w:numPr>
          <w:ilvl w:val="1"/>
          <w:numId w:val="8"/>
        </w:numPr>
      </w:pPr>
      <w:r>
        <w:rPr/>
        <w:t xml:space="preserve">Drainage </w:t>
      </w:r>
    </w:p>
    <w:p>
      <w:pPr>
        <w:pStyle w:val="Heading3"/>
      </w:pPr>
      <w:r>
        <w:rPr/>
        <w:t>Abcès appendiculaire</w:t>
      </w:r>
    </w:p>
    <w:p>
      <w:pPr>
        <w:numPr>
          <w:ilvl w:val="1"/>
          <w:numId w:val="8"/>
        </w:numPr>
      </w:pPr>
      <w:r>
        <w:rPr/>
        <w:t>Évacuation drainage de la collection</w:t>
      </w:r>
    </w:p>
    <w:p>
      <w:pPr>
        <w:numPr>
          <w:ilvl w:val="1"/>
          <w:numId w:val="8"/>
        </w:numPr>
      </w:pPr>
      <w:r>
        <w:rPr/>
        <w:t>Ne pas chercher à tout prix à enlever l’appendice, ce sera fait après 4 à 6 mois</w:t>
      </w:r>
    </w:p>
    <w:p>
      <w:pPr>
        <w:pStyle w:val="Heading3"/>
      </w:pPr>
      <w:r>
        <w:rPr/>
        <w:t>Péritonite généralisée :</w:t>
      </w:r>
    </w:p>
    <w:p>
      <w:pPr>
        <w:numPr>
          <w:ilvl w:val="1"/>
          <w:numId w:val="8"/>
        </w:numPr>
      </w:pPr>
      <w:r>
        <w:rPr/>
        <w:t>Abord large ou abord par voie médiane</w:t>
      </w:r>
    </w:p>
    <w:p>
      <w:pPr>
        <w:numPr>
          <w:ilvl w:val="1"/>
          <w:numId w:val="8"/>
        </w:numPr>
      </w:pPr>
      <w:r>
        <w:rPr/>
        <w:t>Toilette péritonéale soigneuse et complète</w:t>
      </w:r>
    </w:p>
    <w:p>
      <w:pPr>
        <w:numPr>
          <w:ilvl w:val="1"/>
          <w:numId w:val="8"/>
        </w:numPr>
      </w:pPr>
      <w:r>
        <w:rPr/>
        <w:t>Éradication du foyer infectant (appendicectomie)</w:t>
      </w:r>
    </w:p>
    <w:p>
      <w:pPr>
        <w:numPr>
          <w:ilvl w:val="1"/>
          <w:numId w:val="8"/>
        </w:numPr>
      </w:pPr>
      <w:r>
        <w:rPr/>
        <w:t>Drainage large de la FID et du Douglas</w:t>
      </w:r>
    </w:p>
    <w:p>
      <w:pPr>
        <w:numPr>
          <w:ilvl w:val="1"/>
          <w:numId w:val="8"/>
        </w:numPr>
      </w:pPr>
      <w:r>
        <w:rPr/>
        <w:t>Réanimation et antibiothérapie</w:t>
      </w:r>
    </w:p>
    <w:p>
      <w:pPr>
        <w:pStyle w:val="Heading3"/>
      </w:pPr>
      <w:r>
        <w:rPr/>
        <w:t xml:space="preserve">Appendicectomie sous coelioscopie : </w:t>
      </w:r>
    </w:p>
    <w:p>
      <w:pPr/>
      <w:r>
        <w:rPr/>
        <w:t xml:space="preserve">but diagnostique et thérapeutique d’emblée, </w:t>
      </w:r>
      <w:r>
        <w:rPr>
          <w:i/>
        </w:rPr>
        <w:t xml:space="preserve">présente des </w:t>
      </w:r>
      <w:r>
        <w:rPr/>
        <w:t>avantages et complications</w:t>
      </w:r>
    </w:p>
    <w:p>
      <w:pPr>
        <w:pStyle w:val="Heading4"/>
      </w:pPr>
      <w:r>
        <w:rPr/>
        <w:t xml:space="preserve">Avantages : </w:t>
      </w:r>
    </w:p>
    <w:p>
      <w:pPr>
        <w:numPr>
          <w:ilvl w:val="2"/>
          <w:numId w:val="8"/>
        </w:numPr>
      </w:pPr>
      <w:r>
        <w:rPr/>
        <w:t>Chez les obèses</w:t>
      </w:r>
    </w:p>
    <w:p>
      <w:pPr>
        <w:numPr>
          <w:ilvl w:val="2"/>
          <w:numId w:val="8"/>
        </w:numPr>
      </w:pPr>
      <w:r>
        <w:rPr/>
        <w:t>Pour les doutes diagnostiques</w:t>
      </w:r>
    </w:p>
    <w:p>
      <w:pPr>
        <w:numPr>
          <w:ilvl w:val="2"/>
          <w:numId w:val="8"/>
        </w:numPr>
      </w:pPr>
      <w:r>
        <w:rPr/>
        <w:t>Hospitalisation courte</w:t>
      </w:r>
    </w:p>
    <w:p>
      <w:pPr>
        <w:pStyle w:val="Heading4"/>
      </w:pPr>
      <w:r>
        <w:rPr/>
        <w:t>Complications post-opératoires :</w:t>
      </w:r>
    </w:p>
    <w:p>
      <w:pPr>
        <w:numPr>
          <w:ilvl w:val="2"/>
          <w:numId w:val="8"/>
        </w:numPr>
      </w:pPr>
      <w:r>
        <w:rPr>
          <w:b/>
        </w:rPr>
        <w:t xml:space="preserve">Précoces : </w:t>
      </w:r>
    </w:p>
    <w:p>
      <w:pPr>
        <w:numPr>
          <w:ilvl w:val="3"/>
          <w:numId w:val="8"/>
        </w:numPr>
      </w:pPr>
      <w:r>
        <w:rPr/>
        <w:t>Abcès de paroi ou du Douglas</w:t>
      </w:r>
    </w:p>
    <w:p>
      <w:pPr>
        <w:numPr>
          <w:ilvl w:val="3"/>
          <w:numId w:val="8"/>
        </w:numPr>
      </w:pPr>
      <w:r>
        <w:rPr/>
        <w:t>Syndrome du 5ème jour</w:t>
      </w:r>
    </w:p>
    <w:p>
      <w:pPr>
        <w:numPr>
          <w:ilvl w:val="3"/>
          <w:numId w:val="8"/>
        </w:numPr>
      </w:pPr>
      <w:r>
        <w:rPr/>
        <w:t>Péritonite post-opératoire</w:t>
      </w:r>
    </w:p>
    <w:p>
      <w:pPr>
        <w:numPr>
          <w:ilvl w:val="2"/>
          <w:numId w:val="8"/>
        </w:numPr>
      </w:pPr>
      <w:r>
        <w:rPr>
          <w:b/>
        </w:rPr>
        <w:t>Tardives :</w:t>
      </w:r>
    </w:p>
    <w:p>
      <w:pPr>
        <w:numPr>
          <w:ilvl w:val="3"/>
          <w:numId w:val="8"/>
        </w:numPr>
      </w:pPr>
      <w:r>
        <w:rPr/>
        <w:t>Occlusion par brides</w:t>
      </w:r>
    </w:p>
    <w:p>
      <w:pPr>
        <w:numPr>
          <w:ilvl w:val="3"/>
          <w:numId w:val="8"/>
        </w:numPr>
      </w:pPr>
      <w:r>
        <w:rPr/>
        <w:t xml:space="preserve">Éventration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