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LITHIASE BILIAIRE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3"/>
        </w:numPr>
      </w:pPr>
      <w:r>
        <w:rPr/>
        <w:t>Lithiase biliaire : pathologie suite à l’existence de calcul dans les voies biliaires</w:t>
      </w:r>
    </w:p>
    <w:p>
      <w:pPr>
        <w:numPr>
          <w:ilvl w:val="0"/>
          <w:numId w:val="23"/>
        </w:numPr>
      </w:pPr>
      <w:r>
        <w:rPr/>
        <w:t>Fréquente et bénigne</w:t>
      </w:r>
    </w:p>
    <w:p>
      <w:pPr>
        <w:numPr>
          <w:ilvl w:val="0"/>
          <w:numId w:val="23"/>
        </w:numPr>
      </w:pPr>
      <w:r>
        <w:rPr/>
        <w:t>Conséquences graves si compliquées</w:t>
      </w:r>
    </w:p>
    <w:p>
      <w:pPr/>
    </w:p>
    <w:p>
      <w:pPr>
        <w:pStyle w:val="Heading3"/>
      </w:pPr>
      <w:r>
        <w:rPr/>
        <w:t>RAPPEL</w:t>
      </w:r>
    </w:p>
    <w:p>
      <w:pPr>
        <w:numPr>
          <w:ilvl w:val="0"/>
          <w:numId w:val="24"/>
        </w:numPr>
      </w:pPr>
      <w:r>
        <w:rPr/>
        <w:t xml:space="preserve">Bile : </w:t>
      </w:r>
    </w:p>
    <w:p>
      <w:pPr>
        <w:numPr>
          <w:ilvl w:val="1"/>
          <w:numId w:val="24"/>
        </w:numPr>
      </w:pPr>
      <w:r>
        <w:rPr/>
        <w:t>C’est une solution comportant 90-95% d’eau</w:t>
      </w:r>
    </w:p>
    <w:p>
      <w:pPr>
        <w:numPr>
          <w:ilvl w:val="1"/>
          <w:numId w:val="24"/>
        </w:numPr>
      </w:pPr>
      <w:r>
        <w:rPr/>
        <w:t>Eléctrolytes</w:t>
      </w:r>
      <w:r>
        <w:rPr/>
        <w:t xml:space="preserve"> inorganiques</w:t>
      </w:r>
    </w:p>
    <w:p>
      <w:pPr>
        <w:numPr>
          <w:ilvl w:val="1"/>
          <w:numId w:val="24"/>
        </w:numPr>
      </w:pPr>
      <w:r>
        <w:rPr/>
        <w:t>Composés organiques : bilirubine, cholestérol et phospholipides</w:t>
      </w:r>
    </w:p>
    <w:p>
      <w:pPr>
        <w:numPr>
          <w:ilvl w:val="1"/>
          <w:numId w:val="24"/>
        </w:numPr>
      </w:pPr>
      <w:r>
        <w:rPr/>
        <w:t>Secrétion</w:t>
      </w:r>
      <w:r>
        <w:rPr/>
        <w:t xml:space="preserve"> biliaire : 750 ml/j</w:t>
      </w:r>
    </w:p>
    <w:p>
      <w:pPr>
        <w:numPr>
          <w:ilvl w:val="0"/>
          <w:numId w:val="24"/>
        </w:numPr>
      </w:pPr>
      <w:r>
        <w:rPr/>
        <w:t>Anatomie des voies biliaires</w:t>
      </w:r>
    </w:p>
    <w:p>
      <w:pPr>
        <w:numPr>
          <w:ilvl w:val="1"/>
          <w:numId w:val="24"/>
        </w:numPr>
      </w:pPr>
      <w:r>
        <w:drawing>
          <wp:inline xmlns:a="http://schemas.openxmlformats.org/drawingml/2006/main" xmlns:pic="http://schemas.openxmlformats.org/drawingml/2006/picture">
            <wp:extent cx="14871700" cy="1986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0" cy="1986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EPIDEMIOLOGIE</w:t>
      </w:r>
    </w:p>
    <w:p>
      <w:pPr>
        <w:numPr>
          <w:ilvl w:val="0"/>
          <w:numId w:val="18"/>
        </w:numPr>
      </w:pPr>
      <w:r>
        <w:rPr/>
        <w:t>Prévalence LB : difficile à préciser car la majorité restent asymptomatiques</w:t>
      </w:r>
    </w:p>
    <w:p>
      <w:pPr>
        <w:numPr>
          <w:ilvl w:val="0"/>
          <w:numId w:val="18"/>
        </w:numPr>
      </w:pPr>
      <w:r>
        <w:rPr/>
        <w:t>Europe : &gt;&gt; 10 à 20% de la population</w:t>
      </w:r>
    </w:p>
    <w:p>
      <w:pPr>
        <w:numPr>
          <w:ilvl w:val="0"/>
          <w:numId w:val="18"/>
        </w:numPr>
      </w:pPr>
      <w:r>
        <w:rPr/>
        <w:t xml:space="preserve">1/3 des malades ayant une LB symptomatique auront une complication </w:t>
      </w:r>
    </w:p>
    <w:p>
      <w:pPr>
        <w:numPr>
          <w:ilvl w:val="0"/>
          <w:numId w:val="18"/>
        </w:numPr>
      </w:pPr>
      <w:r>
        <w:rPr/>
        <w:t>France : 160.000 nouveaux cas/an (incidence)</w:t>
      </w:r>
    </w:p>
    <w:p>
      <w:pPr/>
    </w:p>
    <w:p>
      <w:pPr>
        <w:pStyle w:val="Heading2"/>
      </w:pPr>
      <w:r>
        <w:rPr/>
        <w:t>FACTEURS FAVORISANTS LA LITHOGENESE</w:t>
      </w:r>
    </w:p>
    <w:p>
      <w:pPr>
        <w:numPr>
          <w:ilvl w:val="0"/>
          <w:numId w:val="19"/>
        </w:numPr>
      </w:pPr>
      <w:r>
        <w:rPr/>
        <w:t>Age : augmente avec l’âge</w:t>
      </w:r>
    </w:p>
    <w:p>
      <w:pPr>
        <w:numPr>
          <w:ilvl w:val="0"/>
          <w:numId w:val="19"/>
        </w:numPr>
      </w:pPr>
      <w:r>
        <w:rPr/>
        <w:t>Sexe : 2 à 3 fois plus fréquent chez la femme</w:t>
      </w:r>
    </w:p>
    <w:p>
      <w:pPr>
        <w:numPr>
          <w:ilvl w:val="0"/>
          <w:numId w:val="19"/>
        </w:numPr>
      </w:pPr>
      <w:r>
        <w:rPr/>
        <w:t>Grossesse : augmentation du risque</w:t>
      </w:r>
    </w:p>
    <w:p>
      <w:pPr>
        <w:numPr>
          <w:ilvl w:val="0"/>
          <w:numId w:val="19"/>
        </w:numPr>
      </w:pPr>
      <w:r>
        <w:rPr/>
        <w:t>Poids : plus fréquents chez les obèses</w:t>
      </w:r>
    </w:p>
    <w:p>
      <w:pPr>
        <w:numPr>
          <w:ilvl w:val="0"/>
          <w:numId w:val="19"/>
        </w:numPr>
      </w:pPr>
      <w:r>
        <w:rPr>
          <w:b/>
        </w:rPr>
        <w:t>Ethnie et facteurs génétiques</w:t>
      </w:r>
    </w:p>
    <w:p>
      <w:pPr>
        <w:numPr>
          <w:ilvl w:val="1"/>
          <w:numId w:val="19"/>
        </w:numPr>
      </w:pPr>
      <w:r>
        <w:rPr/>
        <w:t xml:space="preserve">Maximale : chez </w:t>
      </w:r>
      <w:r>
        <w:rPr/>
        <w:t>les tribus indienne</w:t>
      </w:r>
      <w:r>
        <w:rPr/>
        <w:t xml:space="preserve"> américaines</w:t>
      </w:r>
    </w:p>
    <w:p>
      <w:pPr>
        <w:numPr>
          <w:ilvl w:val="1"/>
          <w:numId w:val="19"/>
        </w:numPr>
      </w:pPr>
      <w:r>
        <w:rPr/>
        <w:t>Minimale : japon</w:t>
      </w:r>
    </w:p>
    <w:p>
      <w:pPr>
        <w:numPr>
          <w:ilvl w:val="1"/>
          <w:numId w:val="19"/>
        </w:numPr>
      </w:pPr>
      <w:r>
        <w:rPr/>
        <w:t xml:space="preserve">Moyenne en Europe et </w:t>
      </w:r>
      <w:r>
        <w:rPr/>
        <w:t>amérique</w:t>
      </w:r>
      <w:r>
        <w:rPr/>
        <w:t xml:space="preserve"> de Nord</w:t>
      </w:r>
    </w:p>
    <w:p>
      <w:pPr>
        <w:numPr>
          <w:ilvl w:val="0"/>
          <w:numId w:val="19"/>
        </w:numPr>
      </w:pPr>
      <w:r>
        <w:rPr>
          <w:b/>
        </w:rPr>
        <w:t xml:space="preserve">Médicaments : </w:t>
      </w:r>
      <w:r>
        <w:rPr/>
        <w:t xml:space="preserve">hypolipémiants, contraceptifs oraux riches en </w:t>
      </w:r>
      <w:r>
        <w:rPr/>
        <w:t>oestrogènes</w:t>
      </w:r>
      <w:r>
        <w:rPr/>
        <w:t xml:space="preserve">, </w:t>
      </w:r>
      <w:r>
        <w:rPr/>
        <w:t>octréotide</w:t>
      </w:r>
    </w:p>
    <w:p>
      <w:pPr>
        <w:numPr>
          <w:ilvl w:val="0"/>
          <w:numId w:val="19"/>
        </w:numPr>
      </w:pPr>
      <w:r>
        <w:rPr>
          <w:b/>
        </w:rPr>
        <w:t xml:space="preserve">Jeûne : </w:t>
      </w:r>
      <w:r>
        <w:rPr/>
        <w:t>le jeûne prolongé favorise la lithiase biliaire</w:t>
      </w:r>
    </w:p>
    <w:p>
      <w:pPr>
        <w:numPr>
          <w:ilvl w:val="0"/>
          <w:numId w:val="19"/>
        </w:numPr>
      </w:pPr>
      <w:r>
        <w:rPr/>
        <w:t xml:space="preserve">Les lipides biliaires sont constitués de cholestérol, lécithine et sels biliaires : triangle de Small et </w:t>
      </w:r>
      <w:r>
        <w:rPr/>
        <w:t>Dervichian</w:t>
      </w:r>
    </w:p>
    <w:p>
      <w:pPr>
        <w:numPr>
          <w:ilvl w:val="1"/>
          <w:numId w:val="19"/>
        </w:numPr>
      </w:pPr>
      <w:r>
        <w:drawing>
          <wp:inline xmlns:a="http://schemas.openxmlformats.org/drawingml/2006/main" xmlns:pic="http://schemas.openxmlformats.org/drawingml/2006/picture">
            <wp:extent cx="10401300" cy="734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0" cy="734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</w:pPr>
      <w:r>
        <w:rPr/>
        <w:t xml:space="preserve">Différents types de calcul biliaire </w:t>
      </w:r>
    </w:p>
    <w:p>
      <w:pPr>
        <w:numPr>
          <w:ilvl w:val="0"/>
          <w:numId w:val="20"/>
        </w:numPr>
      </w:pPr>
      <w:r>
        <w:rPr>
          <w:b/>
        </w:rPr>
        <w:t>Calculs mixtes (80%)</w:t>
      </w:r>
      <w:r>
        <w:rPr>
          <w:b/>
        </w:rPr>
        <w:t xml:space="preserve"> :</w:t>
      </w:r>
      <w:r>
        <w:rPr/>
        <w:t>couches</w:t>
      </w:r>
      <w:r>
        <w:rPr/>
        <w:t xml:space="preserve"> concentriques de bilirubinate de calcium et de cholestérol. Couleur claire. Opaques aux rayons X</w:t>
      </w:r>
    </w:p>
    <w:p>
      <w:pPr>
        <w:numPr>
          <w:ilvl w:val="0"/>
          <w:numId w:val="20"/>
        </w:numPr>
      </w:pPr>
      <w:r>
        <w:rPr>
          <w:b/>
        </w:rPr>
        <w:t xml:space="preserve">Calculs de cholestérol pur (15%) : </w:t>
      </w:r>
      <w:r>
        <w:rPr/>
        <w:t>structure cristalline. Transparents aux rayons X</w:t>
      </w:r>
    </w:p>
    <w:p>
      <w:pPr>
        <w:numPr>
          <w:ilvl w:val="0"/>
          <w:numId w:val="20"/>
        </w:numPr>
      </w:pPr>
      <w:r>
        <w:rPr>
          <w:b/>
        </w:rPr>
        <w:t xml:space="preserve">Calculs pigmentaires : </w:t>
      </w:r>
      <w:r>
        <w:rPr/>
        <w:t>bilirubine et calcium. Couleur vert foncé ou noirâtre. Transparents aux rayons X</w:t>
      </w:r>
    </w:p>
    <w:p>
      <w:pPr>
        <w:numPr>
          <w:ilvl w:val="0"/>
          <w:numId w:val="20"/>
        </w:numPr>
      </w:pPr>
      <w:r>
        <w:rPr>
          <w:b/>
        </w:rPr>
        <w:t xml:space="preserve">Calculs de carbonate de calcium : </w:t>
      </w:r>
      <w:r>
        <w:rPr/>
        <w:t>grains fins comme du sable, lourds et sédimentent au fond de la vésicule biliaire. Opaques aux rayons X</w:t>
      </w:r>
    </w:p>
    <w:p>
      <w:pPr>
        <w:numPr>
          <w:ilvl w:val="0"/>
          <w:numId w:val="20"/>
        </w:numPr>
      </w:pPr>
      <w:r>
        <w:rPr>
          <w:b/>
        </w:rPr>
        <w:t xml:space="preserve">Les calculs à noyau figurés </w:t>
      </w:r>
      <w:r>
        <w:rPr/>
        <w:t>ont un centre formé par un parasite</w:t>
      </w:r>
    </w:p>
    <w:p>
      <w:pPr>
        <w:pStyle w:val="Heading2"/>
      </w:pPr>
      <w:r>
        <w:rPr/>
        <w:t>HISTOIRE NATURELLE</w:t>
      </w:r>
    </w:p>
    <w:p>
      <w:pPr>
        <w:numPr>
          <w:ilvl w:val="0"/>
          <w:numId w:val="21"/>
        </w:numPr>
      </w:pPr>
      <w:r>
        <w:rPr>
          <w:b/>
        </w:rPr>
        <w:t>La lithiase biliaire est latente (80% des cas)</w:t>
      </w:r>
    </w:p>
    <w:p>
      <w:pPr>
        <w:numPr>
          <w:ilvl w:val="0"/>
          <w:numId w:val="21"/>
        </w:numPr>
      </w:pPr>
      <w:r>
        <w:rPr>
          <w:b/>
        </w:rPr>
        <w:t>Manifestations douloureuses isolées :</w:t>
      </w:r>
    </w:p>
    <w:p>
      <w:pPr>
        <w:numPr>
          <w:ilvl w:val="1"/>
          <w:numId w:val="21"/>
        </w:numPr>
      </w:pPr>
      <w:r>
        <w:rPr/>
        <w:t>Colique hépatique</w:t>
      </w:r>
    </w:p>
    <w:p>
      <w:pPr>
        <w:numPr>
          <w:ilvl w:val="1"/>
          <w:numId w:val="21"/>
        </w:numPr>
      </w:pPr>
      <w:r>
        <w:rPr/>
        <w:t>Symptomatologie fonctionnelle</w:t>
      </w:r>
    </w:p>
    <w:p>
      <w:pPr>
        <w:numPr>
          <w:ilvl w:val="1"/>
          <w:numId w:val="21"/>
        </w:numPr>
      </w:pPr>
      <w:r>
        <w:rPr/>
        <w:t>Peut simuler la douleur typique d’une pancréatite aiguë</w:t>
      </w:r>
    </w:p>
    <w:p>
      <w:pPr>
        <w:numPr>
          <w:ilvl w:val="0"/>
          <w:numId w:val="21"/>
        </w:numPr>
      </w:pPr>
      <w:r>
        <w:rPr>
          <w:b/>
        </w:rPr>
        <w:t>Manifestations infectieuses de complications</w:t>
      </w:r>
    </w:p>
    <w:p>
      <w:pPr>
        <w:numPr>
          <w:ilvl w:val="1"/>
          <w:numId w:val="21"/>
        </w:numPr>
      </w:pPr>
      <w:r>
        <w:rPr/>
        <w:t>Cholécystite aiguë, péritonite, angiocholite</w:t>
      </w:r>
    </w:p>
    <w:p>
      <w:pPr>
        <w:numPr>
          <w:ilvl w:val="0"/>
          <w:numId w:val="21"/>
        </w:numPr>
      </w:pPr>
      <w:r>
        <w:rPr>
          <w:b/>
        </w:rPr>
        <w:t>Manifestations ictériques : rétention biliaire</w:t>
      </w:r>
    </w:p>
    <w:p>
      <w:pPr>
        <w:numPr>
          <w:ilvl w:val="0"/>
          <w:numId w:val="21"/>
        </w:numPr>
      </w:pPr>
      <w:r>
        <w:rPr>
          <w:b/>
        </w:rPr>
        <w:t xml:space="preserve">Manifestations occlusives : </w:t>
      </w:r>
      <w:r>
        <w:rPr>
          <w:b/>
        </w:rPr>
        <w:t>iléus biliaire</w:t>
      </w:r>
      <w:r>
        <w:rPr>
          <w:b/>
        </w:rPr>
      </w:r>
    </w:p>
    <w:p>
      <w:pPr>
        <w:ind w:left="360"/>
      </w:pP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18161000" cy="1358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0" cy="135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</w:rPr>
        <w:t>Angiocholite : infection du contenu biliaire et de la voie biliaire principale (</w:t>
      </w:r>
      <w:r>
        <w:rPr>
          <w:i/>
        </w:rPr>
        <w:t>choledoque</w:t>
      </w:r>
      <w:r>
        <w:rPr>
          <w:i/>
        </w:rPr>
        <w:t>)</w:t>
      </w:r>
    </w:p>
    <w:p>
      <w:pPr>
        <w:ind w:left="360"/>
      </w:pPr>
      <w:r>
        <w:rPr>
          <w:i/>
        </w:rPr>
        <w:t xml:space="preserve">Voie biliaire principale : canal hépatique gauche et droite, commune, </w:t>
      </w:r>
      <w:r>
        <w:rPr>
          <w:i/>
        </w:rPr>
        <w:t>choledoque</w:t>
      </w:r>
      <w:r>
        <w:rPr>
          <w:i/>
        </w:rPr>
        <w:t xml:space="preserve"> (car nécessaire pour que la bile s’écoule normalement)</w:t>
      </w:r>
    </w:p>
    <w:p>
      <w:pPr>
        <w:ind w:left="360"/>
      </w:pPr>
      <w:r>
        <w:rPr>
          <w:i/>
        </w:rPr>
        <w:t>Voie biliaire accessoire : vésicule biliaire et canal cystique</w:t>
      </w:r>
    </w:p>
    <w:p>
      <w:pPr>
        <w:ind w:left="360"/>
      </w:pPr>
    </w:p>
    <w:p>
      <w:pPr>
        <w:pStyle w:val="Heading2"/>
      </w:pPr>
      <w:r>
        <w:rPr/>
        <w:t>ELEMENTS DE DIAGNOSTIC</w:t>
      </w:r>
    </w:p>
    <w:p>
      <w:pPr>
        <w:pStyle w:val="Heading3"/>
      </w:pPr>
      <w:r>
        <w:rPr/>
        <w:t>Anamnèse</w:t>
      </w:r>
    </w:p>
    <w:p>
      <w:pPr>
        <w:numPr>
          <w:ilvl w:val="1"/>
          <w:numId w:val="22"/>
        </w:numPr>
      </w:pPr>
      <w:r>
        <w:rPr>
          <w:b/>
        </w:rPr>
        <w:t>Douleur = colique hépatique</w:t>
      </w:r>
    </w:p>
    <w:p>
      <w:pPr>
        <w:numPr>
          <w:ilvl w:val="2"/>
          <w:numId w:val="22"/>
        </w:numPr>
      </w:pPr>
      <w:r>
        <w:rPr/>
        <w:t>Douleur brutale et intense</w:t>
      </w:r>
    </w:p>
    <w:p>
      <w:pPr>
        <w:numPr>
          <w:ilvl w:val="2"/>
          <w:numId w:val="22"/>
        </w:numPr>
      </w:pPr>
      <w:r>
        <w:rPr/>
        <w:t>Siège au niveau de l’hypocondre droit</w:t>
      </w:r>
    </w:p>
    <w:p>
      <w:pPr>
        <w:numPr>
          <w:ilvl w:val="2"/>
          <w:numId w:val="22"/>
        </w:numPr>
      </w:pPr>
      <w:r>
        <w:rPr/>
        <w:t>Inhibe la respiration ou coupe l’inspiration</w:t>
      </w:r>
    </w:p>
    <w:p>
      <w:pPr>
        <w:numPr>
          <w:ilvl w:val="2"/>
          <w:numId w:val="22"/>
        </w:numPr>
      </w:pPr>
      <w:r>
        <w:rPr/>
        <w:t>Irradiation spécifique vers l’épaule droite</w:t>
      </w:r>
    </w:p>
    <w:p>
      <w:pPr>
        <w:numPr>
          <w:ilvl w:val="2"/>
          <w:numId w:val="22"/>
        </w:numPr>
      </w:pPr>
      <w:r>
        <w:rPr/>
        <w:t>Brève</w:t>
      </w:r>
    </w:p>
    <w:p>
      <w:pPr>
        <w:pStyle w:val="Heading3"/>
      </w:pPr>
      <w:r>
        <w:rPr/>
        <w:t>L’examen clinique</w:t>
      </w:r>
    </w:p>
    <w:p>
      <w:pPr>
        <w:numPr>
          <w:ilvl w:val="2"/>
          <w:numId w:val="22"/>
        </w:numPr>
      </w:pPr>
      <w:r>
        <w:rPr/>
        <w:t xml:space="preserve">Douleur spontanée avec blocage de la respiration par : la </w:t>
      </w:r>
      <w:r>
        <w:rPr>
          <w:b/>
        </w:rPr>
        <w:t>manoeuvre</w:t>
      </w:r>
      <w:r>
        <w:rPr>
          <w:b/>
        </w:rPr>
        <w:t xml:space="preserve"> de MURPHY (</w:t>
      </w:r>
      <w:r>
        <w:rPr>
          <w:b/>
          <w:i/>
        </w:rPr>
        <w:t>consiste à mettre la main au niveau de l’hypochondre droit</w:t>
      </w:r>
      <w:r>
        <w:rPr>
          <w:i/>
        </w:rPr>
        <w:t xml:space="preserve">(palpation) + appuyer + demander au patient d’inspirer (le diaphragme pousse le foie vers le bas, main en contact avec la vésicule comprimée par le foie, </w:t>
      </w:r>
      <w:r>
        <w:rPr>
          <w:i/>
        </w:rPr>
        <w:t>si il</w:t>
      </w:r>
      <w:r>
        <w:rPr>
          <w:i/>
        </w:rPr>
        <w:t xml:space="preserve"> y a calcul, -&gt; douleur car compression)</w:t>
      </w:r>
    </w:p>
    <w:p>
      <w:pPr>
        <w:numPr>
          <w:ilvl w:val="3"/>
          <w:numId w:val="22"/>
        </w:numPr>
      </w:pPr>
      <w:r>
        <w:rPr/>
        <w:t xml:space="preserve">Point de Murphy : réunion du rebord costal droit avec le bord externe du grand droit D </w:t>
      </w:r>
    </w:p>
    <w:p>
      <w:pPr>
        <w:pStyle w:val="Heading3"/>
      </w:pPr>
      <w:r>
        <w:rPr/>
        <w:t>Paraclinique</w:t>
      </w:r>
    </w:p>
    <w:p>
      <w:pPr>
        <w:pStyle w:val="Heading4"/>
      </w:pPr>
      <w:r>
        <w:rPr/>
        <w:t>Examen radiologique</w:t>
      </w:r>
    </w:p>
    <w:p>
      <w:pPr>
        <w:numPr>
          <w:ilvl w:val="2"/>
          <w:numId w:val="22"/>
        </w:numPr>
      </w:pPr>
      <w:r>
        <w:rPr/>
        <w:t>Une radiographie de l’abdomen sans préparation peut mettre en évidence des images calcifiées</w:t>
      </w:r>
      <w:r>
        <w:rPr/>
        <w:br/>
      </w:r>
    </w:p>
    <w:p>
      <w:pPr>
        <w:numPr>
          <w:ilvl w:val="2"/>
          <w:numId w:val="22"/>
        </w:numPr>
      </w:pPr>
      <w:r>
        <w:rPr/>
        <w:t xml:space="preserve">Attention : notion sur les calculs radio-opaques et radio-transparentes </w:t>
      </w:r>
      <w:r>
        <w:drawing>
          <wp:inline xmlns:a="http://schemas.openxmlformats.org/drawingml/2006/main" xmlns:pic="http://schemas.openxmlformats.org/drawingml/2006/picture">
            <wp:extent cx="26619200" cy="19926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0" cy="1992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/>
        <w:t xml:space="preserve">Echographie ou </w:t>
      </w:r>
      <w:r>
        <w:rPr/>
        <w:t>Echotomographie(</w:t>
      </w:r>
      <w:r>
        <w:rPr/>
        <w:t>examen de 1ère intention)</w:t>
      </w:r>
    </w:p>
    <w:p>
      <w:pPr>
        <w:numPr>
          <w:ilvl w:val="2"/>
          <w:numId w:val="22"/>
        </w:numPr>
      </w:pPr>
      <w:r>
        <w:rPr/>
        <w:t>Méthode simple de visualisation des calculs</w:t>
      </w:r>
    </w:p>
    <w:p>
      <w:pPr>
        <w:numPr>
          <w:ilvl w:val="2"/>
          <w:numId w:val="22"/>
        </w:numPr>
      </w:pPr>
      <w:r>
        <w:rPr/>
        <w:t>Examen de première intention</w:t>
      </w:r>
    </w:p>
    <w:p>
      <w:pPr>
        <w:numPr>
          <w:ilvl w:val="2"/>
          <w:numId w:val="22"/>
        </w:numPr>
      </w:pPr>
      <w:r>
        <w:rPr/>
        <w:t>Réalisale</w:t>
      </w:r>
      <w:r>
        <w:rPr/>
        <w:t xml:space="preserve"> même en présence d’un ictère</w:t>
      </w:r>
    </w:p>
    <w:p>
      <w:pPr>
        <w:numPr>
          <w:ilvl w:val="2"/>
          <w:numId w:val="22"/>
        </w:numPr>
      </w:pPr>
      <w:r>
        <w:rPr/>
        <w:t>Images :</w:t>
      </w:r>
    </w:p>
    <w:p>
      <w:pPr>
        <w:numPr>
          <w:ilvl w:val="3"/>
          <w:numId w:val="22"/>
        </w:numPr>
      </w:pPr>
      <w:r>
        <w:rPr>
          <w:b/>
        </w:rPr>
        <w:t>Images hyperéchogènes</w:t>
      </w:r>
    </w:p>
    <w:p>
      <w:pPr>
        <w:numPr>
          <w:ilvl w:val="3"/>
          <w:numId w:val="22"/>
        </w:numPr>
      </w:pPr>
      <w:r>
        <w:rPr>
          <w:b/>
        </w:rPr>
        <w:t>Cônes d’ombre postérieurs</w:t>
      </w:r>
    </w:p>
    <w:p>
      <w:pPr>
        <w:numPr>
          <w:ilvl w:val="2"/>
          <w:numId w:val="22"/>
        </w:numPr>
      </w:pPr>
      <w:r>
        <w:rPr/>
        <w:t>Cependant, l’étude de la voie biliaire principale est souvent difficile (</w:t>
      </w:r>
      <w:r>
        <w:rPr>
          <w:i/>
        </w:rPr>
        <w:t>car en profondeur)</w:t>
      </w:r>
    </w:p>
    <w:p>
      <w:pPr>
        <w:numPr>
          <w:ilvl w:val="2"/>
          <w:numId w:val="22"/>
        </w:numPr>
      </w:pPr>
      <w:r>
        <w:drawing>
          <wp:inline xmlns:a="http://schemas.openxmlformats.org/drawingml/2006/main" xmlns:pic="http://schemas.openxmlformats.org/drawingml/2006/picture">
            <wp:extent cx="27978100" cy="20942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0" cy="2094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</w:pPr>
      <w:r>
        <w:rPr/>
        <w:t xml:space="preserve">Cholécystographie par voie orale et cholangiographie intraveineuse : </w:t>
      </w:r>
      <w:r>
        <w:rPr>
          <w:b/>
        </w:rPr>
        <w:t>abandonnés</w:t>
      </w:r>
    </w:p>
    <w:p>
      <w:pPr>
        <w:pStyle w:val="Heading4"/>
      </w:pPr>
      <w:r>
        <w:rPr/>
        <w:t xml:space="preserve">Cholangiographie rétrograde par voie endoscopique </w:t>
      </w:r>
    </w:p>
    <w:p>
      <w:pPr>
        <w:numPr>
          <w:ilvl w:val="0"/>
          <w:numId w:val="22"/>
        </w:numPr>
      </w:pPr>
      <w:r>
        <w:rPr/>
        <w:t>par</w:t>
      </w:r>
      <w:r>
        <w:rPr/>
        <w:t xml:space="preserve"> cathétérisme de la papille. Elle permet de </w:t>
      </w:r>
      <w:r>
        <w:rPr/>
        <w:t>viualiser</w:t>
      </w:r>
      <w:r>
        <w:rPr/>
        <w:t xml:space="preserve"> une lacune du bas cholédoque (</w:t>
      </w:r>
      <w:r>
        <w:rPr>
          <w:i/>
        </w:rPr>
        <w:t xml:space="preserve">cathétérisme puis injection du </w:t>
      </w:r>
      <w:r>
        <w:rPr>
          <w:i/>
        </w:rPr>
        <w:t>pdc</w:t>
      </w:r>
      <w:r>
        <w:rPr>
          <w:i/>
        </w:rPr>
        <w:t>)</w:t>
      </w:r>
    </w:p>
    <w:p>
      <w:pPr>
        <w:pStyle w:val="Heading4"/>
      </w:pPr>
      <w:r>
        <w:rPr/>
        <w:t xml:space="preserve">Cholangiographie per-opératoire : </w:t>
      </w:r>
    </w:p>
    <w:p>
      <w:pPr>
        <w:numPr>
          <w:ilvl w:val="0"/>
          <w:numId w:val="22"/>
        </w:numPr>
      </w:pPr>
      <w:r>
        <w:rPr/>
        <w:t>Injection</w:t>
      </w:r>
      <w:r>
        <w:rPr/>
        <w:t xml:space="preserve"> de produit de contraste lors de l’opération</w:t>
      </w:r>
    </w:p>
    <w:p>
      <w:pPr>
        <w:pStyle w:val="Heading4"/>
      </w:pPr>
      <w:r>
        <w:rPr/>
        <w:t>Scanographie</w:t>
      </w:r>
    </w:p>
    <w:p>
      <w:pPr>
        <w:pStyle w:val="Heading4"/>
      </w:pPr>
      <w:r>
        <w:rPr/>
        <w:t xml:space="preserve">IRM : </w:t>
      </w:r>
      <w:r>
        <w:rPr/>
        <w:t>bili</w:t>
      </w:r>
      <w:r>
        <w:rPr/>
        <w:t>-IRM</w:t>
      </w:r>
    </w:p>
    <w:p>
      <w:pPr/>
    </w:p>
    <w:p>
      <w:pPr/>
      <w:r>
        <w:rPr>
          <w:b/>
          <w:u w:val="single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