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ZOLLINGER ELLISON (GASTRINOME)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0"/>
        </w:numPr>
      </w:pPr>
      <w:r>
        <w:rPr>
          <w:b/>
        </w:rPr>
        <w:t>Définition</w:t>
      </w:r>
    </w:p>
    <w:p>
      <w:pPr>
        <w:numPr>
          <w:ilvl w:val="1"/>
          <w:numId w:val="40"/>
        </w:numPr>
      </w:pPr>
      <w:r>
        <w:rPr/>
        <w:t xml:space="preserve">Hypersécrétion tumorale de gastrine (par un </w:t>
      </w:r>
      <w:r>
        <w:rPr>
          <w:b/>
        </w:rPr>
        <w:t>gastrinome)</w:t>
      </w:r>
      <w:r>
        <w:rPr/>
        <w:t xml:space="preserve"> stimulant la sécrétion acide de l’estomac</w:t>
      </w:r>
    </w:p>
    <w:p>
      <w:pPr>
        <w:numPr>
          <w:ilvl w:val="1"/>
          <w:numId w:val="40"/>
        </w:numPr>
      </w:pPr>
      <w:r>
        <w:rPr/>
        <w:t>Décrit en 1955 par ZOLLINGER et ELLISON ayant un aspect particulier des UGD en dehors de la maladie ulcéreuse commune</w:t>
      </w:r>
    </w:p>
    <w:p>
      <w:pPr>
        <w:numPr>
          <w:ilvl w:val="0"/>
          <w:numId w:val="40"/>
        </w:numPr>
      </w:pPr>
      <w:r>
        <w:rPr>
          <w:b/>
        </w:rPr>
        <w:t>Intérêts :</w:t>
      </w:r>
    </w:p>
    <w:p>
      <w:pPr>
        <w:numPr>
          <w:ilvl w:val="1"/>
          <w:numId w:val="40"/>
        </w:numPr>
      </w:pPr>
      <w:r>
        <w:rPr/>
        <w:t>Rare : prévalence : 1/20.000</w:t>
      </w:r>
    </w:p>
    <w:p>
      <w:pPr>
        <w:numPr>
          <w:ilvl w:val="1"/>
          <w:numId w:val="40"/>
        </w:numPr>
      </w:pPr>
      <w:r>
        <w:rPr/>
        <w:t xml:space="preserve">Tumeur endocrine fonctionnelle de la région </w:t>
      </w:r>
      <w:r>
        <w:rPr/>
        <w:t>duodéno</w:t>
      </w:r>
      <w:r>
        <w:rPr/>
        <w:t>-pancréatique la plus fréquente après l’</w:t>
      </w:r>
      <w:r>
        <w:rPr/>
        <w:t>insulinome</w:t>
      </w:r>
      <w:r>
        <w:rPr/>
        <w:t xml:space="preserve"> (0,5 à 1,5 cas par million d’habitants)</w:t>
      </w:r>
    </w:p>
    <w:p>
      <w:pPr>
        <w:numPr>
          <w:ilvl w:val="1"/>
          <w:numId w:val="40"/>
        </w:numPr>
      </w:pPr>
      <w:r>
        <w:rPr/>
        <w:t>Difficultés à en faire le diagnostic précoce</w:t>
      </w:r>
    </w:p>
    <w:p>
      <w:pPr>
        <w:numPr>
          <w:ilvl w:val="1"/>
          <w:numId w:val="40"/>
        </w:numPr>
      </w:pPr>
      <w:r>
        <w:rPr/>
        <w:t>Métastase hépatique fréquente</w:t>
      </w:r>
    </w:p>
    <w:p>
      <w:pPr>
        <w:numPr>
          <w:ilvl w:val="0"/>
          <w:numId w:val="40"/>
        </w:numPr>
      </w:pPr>
      <w:r>
        <w:rPr>
          <w:b/>
        </w:rPr>
        <w:t>Rappels physiologique et physiopathologique</w:t>
      </w:r>
    </w:p>
    <w:p>
      <w:pPr>
        <w:numPr>
          <w:ilvl w:val="1"/>
          <w:numId w:val="40"/>
        </w:numPr>
      </w:pPr>
      <w:r>
        <w:rPr/>
        <w:t>Chez le sujet sain :</w:t>
      </w:r>
    </w:p>
    <w:p>
      <w:pPr>
        <w:numPr>
          <w:ilvl w:val="2"/>
          <w:numId w:val="40"/>
        </w:numPr>
      </w:pPr>
      <w:r>
        <w:rPr/>
        <w:t>Disparition des cellules G (sécrétrices de Gastrine) duodénales et pancréatiques pendant l’embryogenèse</w:t>
      </w:r>
    </w:p>
    <w:p>
      <w:pPr>
        <w:numPr>
          <w:ilvl w:val="2"/>
          <w:numId w:val="40"/>
        </w:numPr>
      </w:pPr>
      <w:r>
        <w:rPr/>
        <w:t>Persistance des cellules G antrales</w:t>
      </w:r>
    </w:p>
    <w:p>
      <w:pPr>
        <w:numPr>
          <w:ilvl w:val="2"/>
          <w:numId w:val="40"/>
        </w:numPr>
      </w:pPr>
      <w:r>
        <w:rPr/>
        <w:t>Cellules G -&gt; sécrétion de Gastrine -&gt; sécrétion acide</w:t>
      </w:r>
    </w:p>
    <w:p>
      <w:pPr>
        <w:numPr>
          <w:ilvl w:val="1"/>
          <w:numId w:val="40"/>
        </w:numPr>
      </w:pPr>
      <w:r>
        <w:rPr/>
        <w:t>En cas de syndrome de Zollinger Ellison</w:t>
      </w:r>
    </w:p>
    <w:p>
      <w:pPr>
        <w:numPr>
          <w:ilvl w:val="2"/>
          <w:numId w:val="40"/>
        </w:numPr>
      </w:pPr>
      <w:r>
        <w:rPr>
          <w:b/>
        </w:rPr>
        <w:t>Une tumeur endocrine duodénale ou pancréatique (</w:t>
      </w:r>
      <w:r>
        <w:rPr/>
        <w:t>gastrinome) secrétant la gastrine</w:t>
      </w:r>
    </w:p>
    <w:p>
      <w:pPr>
        <w:numPr>
          <w:ilvl w:val="2"/>
          <w:numId w:val="40"/>
        </w:numPr>
      </w:pPr>
      <w:r>
        <w:rPr>
          <w:b/>
        </w:rPr>
        <w:t xml:space="preserve">Augmentation de la </w:t>
      </w:r>
      <w:r>
        <w:rPr>
          <w:b/>
        </w:rPr>
        <w:t>secrétion</w:t>
      </w:r>
      <w:r>
        <w:rPr>
          <w:b/>
        </w:rPr>
        <w:t xml:space="preserve"> de la Gastrine -&gt; </w:t>
      </w:r>
      <w:r>
        <w:rPr>
          <w:b/>
        </w:rPr>
        <w:t>hypersecrétion</w:t>
      </w:r>
      <w:r>
        <w:rPr>
          <w:b/>
        </w:rPr>
        <w:t xml:space="preserve"> acide (</w:t>
      </w:r>
      <w:r>
        <w:rPr/>
        <w:t xml:space="preserve">double conséquence) </w:t>
      </w:r>
    </w:p>
    <w:p>
      <w:pPr>
        <w:numPr>
          <w:ilvl w:val="3"/>
          <w:numId w:val="40"/>
        </w:numPr>
      </w:pPr>
      <w:r>
        <w:rPr/>
        <w:t>-&gt; maladie ulcéreuse</w:t>
      </w:r>
    </w:p>
    <w:p>
      <w:pPr>
        <w:numPr>
          <w:ilvl w:val="3"/>
          <w:numId w:val="40"/>
        </w:numPr>
      </w:pPr>
      <w:r>
        <w:rPr/>
        <w:t>-&gt; augmentation de la sécrétine -&gt; augmentation du débit hydrique pancréatique -&gt; diarrhée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POSITIF</w:t>
      </w:r>
    </w:p>
    <w:p>
      <w:pPr>
        <w:pStyle w:val="Heading4"/>
      </w:pPr>
      <w:r>
        <w:rPr/>
        <w:t>TDD : SZE sporadique</w:t>
      </w:r>
    </w:p>
    <w:p>
      <w:pPr>
        <w:numPr>
          <w:ilvl w:val="2"/>
          <w:numId w:val="41"/>
        </w:numPr>
      </w:pPr>
      <w:r>
        <w:rPr>
          <w:b/>
        </w:rPr>
        <w:t>Clinique :</w:t>
      </w:r>
      <w:r>
        <w:rPr/>
        <w:t xml:space="preserve"> </w:t>
      </w:r>
      <w:r>
        <w:rPr/>
        <w:t>sex</w:t>
      </w:r>
      <w:r>
        <w:rPr/>
        <w:t xml:space="preserve"> ratio 2H/1F, pic d’incidence : 40 - 45 ans</w:t>
      </w:r>
    </w:p>
    <w:p>
      <w:pPr>
        <w:numPr>
          <w:ilvl w:val="3"/>
          <w:numId w:val="41"/>
        </w:numPr>
      </w:pPr>
      <w:r>
        <w:rPr>
          <w:b/>
        </w:rPr>
        <w:t>Ulcères atypiques :</w:t>
      </w:r>
    </w:p>
    <w:p>
      <w:pPr>
        <w:numPr>
          <w:ilvl w:val="4"/>
          <w:numId w:val="41"/>
        </w:numPr>
      </w:pPr>
      <w:r>
        <w:rPr>
          <w:b/>
        </w:rPr>
        <w:t xml:space="preserve">Siège atypique : </w:t>
      </w:r>
      <w:r>
        <w:rPr/>
        <w:t xml:space="preserve">duodénal </w:t>
      </w:r>
      <w:r>
        <w:rPr/>
        <w:t>au delà</w:t>
      </w:r>
      <w:r>
        <w:rPr/>
        <w:t xml:space="preserve"> du bulbe et jusqu’à l’angle de Treitz, gastrique , </w:t>
      </w:r>
      <w:r>
        <w:rPr/>
        <w:t>oesophagien</w:t>
      </w:r>
      <w:r>
        <w:rPr/>
        <w:t>, jéjunal</w:t>
      </w:r>
    </w:p>
    <w:p>
      <w:pPr>
        <w:numPr>
          <w:ilvl w:val="4"/>
          <w:numId w:val="41"/>
        </w:numPr>
      </w:pPr>
      <w:r>
        <w:rPr>
          <w:b/>
        </w:rPr>
        <w:t xml:space="preserve">Multiples </w:t>
      </w:r>
      <w:r>
        <w:rPr>
          <w:b/>
          <w:i/>
        </w:rPr>
        <w:t xml:space="preserve"> (plus de 2)</w:t>
      </w:r>
    </w:p>
    <w:p>
      <w:pPr>
        <w:numPr>
          <w:ilvl w:val="4"/>
          <w:numId w:val="41"/>
        </w:numPr>
      </w:pPr>
      <w:r>
        <w:rPr>
          <w:b/>
        </w:rPr>
        <w:t>Récidivants</w:t>
      </w:r>
    </w:p>
    <w:p>
      <w:pPr>
        <w:numPr>
          <w:ilvl w:val="4"/>
          <w:numId w:val="41"/>
        </w:numPr>
      </w:pPr>
      <w:r>
        <w:rPr>
          <w:b/>
        </w:rPr>
        <w:t>Résistants au traitement médical</w:t>
      </w:r>
    </w:p>
    <w:p>
      <w:pPr>
        <w:numPr>
          <w:ilvl w:val="4"/>
          <w:numId w:val="41"/>
        </w:numPr>
      </w:pPr>
      <w:r>
        <w:rPr/>
        <w:t xml:space="preserve">Souvent </w:t>
      </w:r>
      <w:r>
        <w:rPr>
          <w:b/>
        </w:rPr>
        <w:t>compliqués (</w:t>
      </w:r>
      <w:r>
        <w:rPr/>
        <w:t>perforation, hémorragie)</w:t>
      </w:r>
    </w:p>
    <w:p>
      <w:pPr>
        <w:numPr>
          <w:ilvl w:val="3"/>
          <w:numId w:val="41"/>
        </w:numPr>
      </w:pPr>
      <w:r>
        <w:rPr>
          <w:b/>
        </w:rPr>
        <w:t xml:space="preserve">Diarrhée chronique </w:t>
      </w:r>
      <w:r>
        <w:rPr>
          <w:b/>
        </w:rPr>
        <w:t>volumogénique</w:t>
      </w:r>
      <w:r>
        <w:rPr>
          <w:b/>
        </w:rPr>
        <w:t xml:space="preserve"> + stéatorrhée </w:t>
      </w:r>
      <w:r>
        <w:rPr/>
        <w:t>stoppée par l’aspiration gastrique ou par l’administration d’IPP</w:t>
      </w:r>
    </w:p>
    <w:p>
      <w:pPr>
        <w:numPr>
          <w:ilvl w:val="3"/>
          <w:numId w:val="41"/>
        </w:numPr>
      </w:pPr>
      <w:r>
        <w:rPr/>
        <w:t>Vomissements fréquents sans sténose pylorique</w:t>
      </w:r>
    </w:p>
    <w:p>
      <w:pPr>
        <w:numPr>
          <w:ilvl w:val="3"/>
          <w:numId w:val="41"/>
        </w:numPr>
      </w:pPr>
      <w:r>
        <w:rPr/>
        <w:t xml:space="preserve">Amaigrissement </w:t>
      </w:r>
    </w:p>
    <w:p>
      <w:pPr>
        <w:numPr>
          <w:ilvl w:val="2"/>
          <w:numId w:val="41"/>
        </w:numPr>
      </w:pPr>
      <w:r>
        <w:rPr>
          <w:b/>
        </w:rPr>
        <w:t>Biologie +++</w:t>
      </w:r>
    </w:p>
    <w:p>
      <w:pPr>
        <w:numPr>
          <w:ilvl w:val="3"/>
          <w:numId w:val="41"/>
        </w:numPr>
      </w:pPr>
      <w:r>
        <w:rPr/>
        <w:t>Hypergastrinémie</w:t>
      </w:r>
      <w:r>
        <w:rPr/>
        <w:t xml:space="preserve"> basale &gt; 100pg/ml (diagnostic certain si &gt; 1000 </w:t>
      </w:r>
      <w:r>
        <w:rPr/>
        <w:t>pg</w:t>
      </w:r>
      <w:r>
        <w:rPr/>
        <w:t>/ml)</w:t>
      </w:r>
    </w:p>
    <w:p>
      <w:pPr>
        <w:numPr>
          <w:ilvl w:val="3"/>
          <w:numId w:val="41"/>
        </w:numPr>
      </w:pPr>
      <w:r>
        <w:rPr/>
        <w:t xml:space="preserve">Tubage gastrique : hypersécrétion acide gastrique; débit acide basal (BAO) &gt; 15 </w:t>
      </w:r>
      <w:r>
        <w:rPr/>
        <w:t>mmol</w:t>
      </w:r>
      <w:r>
        <w:rPr/>
        <w:t xml:space="preserve">/ h et concentration acide </w:t>
      </w:r>
      <w:r>
        <w:rPr/>
        <w:t>vasale</w:t>
      </w:r>
      <w:r>
        <w:rPr/>
        <w:t xml:space="preserve"> </w:t>
      </w:r>
      <w:r>
        <w:rPr>
          <w:rFonts w:ascii="Symbol" w:hAnsi="Symbol"/>
        </w:rPr>
      </w:r>
      <w:r>
        <w:rPr>
          <w:b/>
        </w:rPr>
        <w:t>100mmol/l</w:t>
      </w:r>
    </w:p>
    <w:p>
      <w:pPr>
        <w:numPr>
          <w:ilvl w:val="3"/>
          <w:numId w:val="41"/>
        </w:numPr>
      </w:pPr>
      <w:r>
        <w:rPr>
          <w:b/>
        </w:rPr>
        <w:t xml:space="preserve">Test à la </w:t>
      </w:r>
      <w:r>
        <w:rPr>
          <w:b/>
        </w:rPr>
        <w:t>pentagastrique</w:t>
      </w:r>
      <w:r>
        <w:rPr>
          <w:b/>
        </w:rPr>
        <w:t xml:space="preserve"> (analogue de la gastrine)</w:t>
      </w:r>
    </w:p>
    <w:p>
      <w:pPr>
        <w:numPr>
          <w:ilvl w:val="4"/>
          <w:numId w:val="41"/>
        </w:numPr>
      </w:pPr>
      <w:r>
        <w:rPr>
          <w:b/>
        </w:rPr>
        <w:t xml:space="preserve">-&gt; Acidité gastrique très élevé. +++ </w:t>
      </w:r>
      <w:r>
        <w:rPr/>
        <w:t>(mesurée par tubage gastrique)</w:t>
      </w:r>
    </w:p>
    <w:p>
      <w:pPr>
        <w:numPr>
          <w:ilvl w:val="3"/>
          <w:numId w:val="41"/>
        </w:numPr>
      </w:pPr>
      <w:r>
        <w:rPr>
          <w:b/>
        </w:rPr>
        <w:t>Test à la sécrétine : -&gt;</w:t>
      </w:r>
      <w:r>
        <w:rPr/>
        <w:t xml:space="preserve"> </w:t>
      </w:r>
      <w:r>
        <w:rPr/>
        <w:t>hypergastrinémie</w:t>
      </w:r>
      <w:r>
        <w:rPr/>
        <w:t xml:space="preserve"> stimulée +</w:t>
      </w:r>
      <w:r>
        <w:rPr/>
        <w:t>hypersecrétion</w:t>
      </w:r>
      <w:r>
        <w:rPr/>
        <w:t xml:space="preserve"> acide</w:t>
      </w:r>
    </w:p>
    <w:p>
      <w:pPr>
        <w:numPr>
          <w:ilvl w:val="2"/>
          <w:numId w:val="41"/>
        </w:numPr>
      </w:pPr>
      <w:r>
        <w:rPr>
          <w:b/>
        </w:rPr>
        <w:t>Fibroscopie :</w:t>
      </w:r>
    </w:p>
    <w:p>
      <w:pPr>
        <w:numPr>
          <w:ilvl w:val="3"/>
          <w:numId w:val="41"/>
        </w:numPr>
      </w:pPr>
      <w:r>
        <w:rPr/>
        <w:t>Hypertrophie de la muqueuse gastrique (effet trophique de la gastrique ) + ulcère atypique</w:t>
      </w:r>
    </w:p>
    <w:p>
      <w:pPr>
        <w:numPr>
          <w:ilvl w:val="2"/>
          <w:numId w:val="41"/>
        </w:numPr>
      </w:pPr>
      <w:r>
        <w:rPr>
          <w:b/>
        </w:rPr>
        <w:t>Pour le diagnostic de localisation</w:t>
      </w:r>
    </w:p>
    <w:p>
      <w:pPr>
        <w:numPr>
          <w:ilvl w:val="3"/>
          <w:numId w:val="41"/>
        </w:numPr>
      </w:pPr>
      <w:r>
        <w:rPr>
          <w:b/>
        </w:rPr>
        <w:t>Echoendoscopie</w:t>
      </w:r>
      <w:r>
        <w:rPr>
          <w:b/>
        </w:rPr>
        <w:t xml:space="preserve"> +++ </w:t>
      </w:r>
      <w:r>
        <w:rPr/>
        <w:t>: le plus sensible sauf pour les localisations duodénales ou gastriques</w:t>
      </w:r>
    </w:p>
    <w:p>
      <w:pPr>
        <w:numPr>
          <w:ilvl w:val="3"/>
          <w:numId w:val="41"/>
        </w:numPr>
      </w:pPr>
      <w:r>
        <w:rPr/>
        <w:t>Echographie et IRM : 30%</w:t>
      </w:r>
    </w:p>
    <w:p>
      <w:pPr>
        <w:numPr>
          <w:ilvl w:val="3"/>
          <w:numId w:val="41"/>
        </w:numPr>
      </w:pPr>
      <w:r>
        <w:rPr/>
        <w:t>TDM : 40-60%</w:t>
      </w:r>
    </w:p>
    <w:p>
      <w:pPr>
        <w:numPr>
          <w:ilvl w:val="3"/>
          <w:numId w:val="41"/>
        </w:numPr>
      </w:pPr>
      <w:r>
        <w:rPr/>
        <w:t>Artériographie : 14 - 86%</w:t>
      </w:r>
    </w:p>
    <w:p>
      <w:pPr>
        <w:numPr>
          <w:ilvl w:val="3"/>
          <w:numId w:val="41"/>
        </w:numPr>
      </w:pPr>
      <w:r>
        <w:rPr/>
        <w:t xml:space="preserve">Cathétérisme sélectif du système veineux portal avec dosage </w:t>
      </w:r>
      <w:r>
        <w:rPr/>
        <w:t>éétagé</w:t>
      </w:r>
      <w:r>
        <w:rPr/>
        <w:t xml:space="preserve"> de la gastrine</w:t>
      </w:r>
    </w:p>
    <w:p>
      <w:pPr>
        <w:numPr>
          <w:ilvl w:val="3"/>
          <w:numId w:val="41"/>
        </w:numPr>
      </w:pPr>
      <w:r>
        <w:rPr/>
        <w:t>Octréoscanner</w:t>
      </w:r>
      <w:r>
        <w:rPr/>
        <w:t xml:space="preserve"> (</w:t>
      </w:r>
      <w:r>
        <w:rPr>
          <w:i/>
        </w:rPr>
        <w:t>pour localiser le gastrinome au niveau du pancréas)</w:t>
      </w: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Formes topographiques :</w:t>
      </w:r>
    </w:p>
    <w:p>
      <w:pPr>
        <w:numPr>
          <w:ilvl w:val="3"/>
          <w:numId w:val="41"/>
        </w:numPr>
      </w:pPr>
      <w:r>
        <w:rPr>
          <w:b/>
        </w:rPr>
        <w:t>50% des malades sont opérés sans diagnostic topographique préopératoire</w:t>
      </w:r>
      <w:r>
        <w:rPr>
          <w:b/>
        </w:rPr>
        <w:br/>
      </w:r>
    </w:p>
    <w:p>
      <w:pPr>
        <w:numPr>
          <w:ilvl w:val="3"/>
          <w:numId w:val="41"/>
        </w:numPr>
      </w:pPr>
      <w:r>
        <w:rPr/>
        <w:t>Duodénum ou ganglion (70%)</w:t>
      </w:r>
    </w:p>
    <w:p>
      <w:pPr>
        <w:numPr>
          <w:ilvl w:val="3"/>
          <w:numId w:val="41"/>
        </w:numPr>
      </w:pPr>
      <w:r>
        <w:rPr/>
        <w:t>Pancréas &lt; 20%</w:t>
      </w:r>
    </w:p>
    <w:p>
      <w:pPr>
        <w:numPr>
          <w:ilvl w:val="3"/>
          <w:numId w:val="41"/>
        </w:numPr>
      </w:pPr>
      <w:r>
        <w:rPr/>
        <w:t>Autres : 10% (</w:t>
      </w:r>
      <w:r>
        <w:rPr/>
        <w:t>coeur</w:t>
      </w:r>
      <w:r>
        <w:rPr/>
        <w:t>, ovaire, vésicule biliaire, ...)</w:t>
      </w:r>
    </w:p>
    <w:p>
      <w:pPr>
        <w:pStyle w:val="Heading3"/>
      </w:pPr>
      <w:r>
        <w:rPr/>
        <w:t>DIAGNOSTIC ETIOLOGIQUE</w:t>
      </w:r>
    </w:p>
    <w:p>
      <w:pPr>
        <w:pStyle w:val="ListParagraph"/>
        <w:numPr>
          <w:ilvl w:val="0"/>
          <w:numId w:val="75"/>
        </w:numPr>
      </w:pPr>
      <w:r>
        <w:rPr>
          <w:b/>
        </w:rPr>
        <w:t>SZE sporadique (absence de NEM 1)</w:t>
      </w:r>
    </w:p>
    <w:p>
      <w:pPr>
        <w:numPr>
          <w:ilvl w:val="3"/>
          <w:numId w:val="41"/>
        </w:numPr>
      </w:pPr>
      <w:r>
        <w:rPr/>
        <w:t>Gastrinome unique associé à des métastases ganglionnaires</w:t>
      </w:r>
    </w:p>
    <w:p>
      <w:pPr>
        <w:numPr>
          <w:ilvl w:val="3"/>
          <w:numId w:val="41"/>
        </w:numPr>
      </w:pPr>
      <w:r>
        <w:rPr/>
        <w:t>Localisation duodénale ou ganglionnaire (65%)</w:t>
      </w:r>
    </w:p>
    <w:p>
      <w:pPr>
        <w:numPr>
          <w:ilvl w:val="3"/>
          <w:numId w:val="41"/>
        </w:numPr>
      </w:pPr>
      <w:r>
        <w:rPr/>
        <w:t>Localisation pancréatique (25%)</w:t>
      </w:r>
    </w:p>
    <w:p>
      <w:pPr>
        <w:numPr>
          <w:ilvl w:val="3"/>
          <w:numId w:val="41"/>
        </w:numPr>
      </w:pPr>
      <w:r>
        <w:rPr/>
        <w:t xml:space="preserve">Localisations </w:t>
      </w:r>
      <w:r>
        <w:rPr/>
        <w:t>aailleurs</w:t>
      </w:r>
      <w:r>
        <w:rPr/>
        <w:t xml:space="preserve"> (10%) : ovaire, </w:t>
      </w:r>
      <w:r>
        <w:rPr/>
        <w:t>coeur</w:t>
      </w:r>
      <w:r>
        <w:rPr/>
        <w:t>, ...</w:t>
      </w:r>
    </w:p>
    <w:p>
      <w:pPr>
        <w:pStyle w:val="ListParagraph"/>
        <w:numPr>
          <w:ilvl w:val="0"/>
          <w:numId w:val="75"/>
        </w:numPr>
      </w:pPr>
      <w:r>
        <w:rPr>
          <w:b/>
        </w:rPr>
        <w:t>En cas de NEM 1 (néoplasie endocrinien multiple)</w:t>
      </w:r>
    </w:p>
    <w:p>
      <w:pPr>
        <w:numPr>
          <w:ilvl w:val="3"/>
          <w:numId w:val="41"/>
        </w:numPr>
      </w:pPr>
      <w:r>
        <w:rPr/>
        <w:t>Gastrinomes duodénaux multiples (80%)</w:t>
      </w:r>
    </w:p>
    <w:p>
      <w:pPr>
        <w:numPr>
          <w:ilvl w:val="3"/>
          <w:numId w:val="41"/>
        </w:numPr>
      </w:pPr>
      <w:r>
        <w:rPr/>
        <w:t>Hyperparathyroïdie</w:t>
      </w:r>
    </w:p>
    <w:p>
      <w:pPr>
        <w:numPr>
          <w:ilvl w:val="3"/>
          <w:numId w:val="41"/>
        </w:numPr>
      </w:pPr>
      <w:r>
        <w:rPr/>
        <w:t>Tumeur pancréatique (</w:t>
      </w:r>
      <w:r>
        <w:rPr/>
        <w:t>insulinome</w:t>
      </w:r>
      <w:r>
        <w:rPr/>
        <w:t>, gastrinome)</w:t>
      </w:r>
    </w:p>
    <w:p>
      <w:pPr>
        <w:numPr>
          <w:ilvl w:val="3"/>
          <w:numId w:val="41"/>
        </w:numPr>
      </w:pPr>
      <w:r>
        <w:rPr/>
        <w:t xml:space="preserve">Adénome </w:t>
      </w:r>
      <w:r>
        <w:rPr/>
        <w:t>anté-hypophysaire</w:t>
      </w:r>
    </w:p>
    <w:p>
      <w:pPr>
        <w:pStyle w:val="Heading3"/>
      </w:pPr>
      <w:r>
        <w:rPr/>
        <w:t>DIAGNOSTIC DIFFERENTIEL</w:t>
      </w:r>
    </w:p>
    <w:p>
      <w:pPr>
        <w:numPr>
          <w:ilvl w:val="3"/>
          <w:numId w:val="41"/>
        </w:numPr>
      </w:pPr>
      <w:r>
        <w:rPr/>
        <w:t>Gastrite atrophique fundique(</w:t>
      </w:r>
      <w:r>
        <w:rPr>
          <w:i/>
        </w:rPr>
        <w:t>biopsie)</w:t>
      </w:r>
    </w:p>
    <w:p>
      <w:pPr>
        <w:numPr>
          <w:ilvl w:val="3"/>
          <w:numId w:val="41"/>
        </w:numPr>
      </w:pPr>
      <w:r>
        <w:rPr/>
        <w:t>Traitements par IPP</w:t>
      </w:r>
    </w:p>
    <w:p>
      <w:pPr>
        <w:numPr>
          <w:ilvl w:val="4"/>
          <w:numId w:val="41"/>
        </w:numPr>
      </w:pPr>
      <w:r>
        <w:rPr/>
        <w:t>Hypergastrinémie</w:t>
      </w:r>
      <w:r>
        <w:rPr/>
        <w:t xml:space="preserve"> sans sécrétion acide</w:t>
      </w:r>
    </w:p>
    <w:p>
      <w:pPr>
        <w:numPr>
          <w:ilvl w:val="3"/>
          <w:numId w:val="41"/>
        </w:numPr>
      </w:pPr>
      <w:r>
        <w:rPr/>
        <w:t>Ulcères gastro-duodénaux</w:t>
      </w:r>
    </w:p>
    <w:p>
      <w:pPr>
        <w:ind w:left="360"/>
      </w:pPr>
    </w:p>
    <w:p>
      <w:pPr>
        <w:pStyle w:val="Heading2"/>
      </w:pPr>
      <w:r>
        <w:rPr/>
        <w:t>TRAITEMENT</w:t>
      </w:r>
    </w:p>
    <w:p>
      <w:pPr>
        <w:numPr>
          <w:ilvl w:val="0"/>
          <w:numId w:val="42"/>
        </w:numPr>
      </w:pPr>
      <w:r>
        <w:rPr>
          <w:b/>
        </w:rPr>
        <w:t>Buts</w:t>
      </w:r>
      <w:r>
        <w:rPr/>
        <w:t xml:space="preserve"> :</w:t>
      </w:r>
    </w:p>
    <w:p>
      <w:pPr>
        <w:numPr>
          <w:ilvl w:val="1"/>
          <w:numId w:val="42"/>
        </w:numPr>
      </w:pPr>
      <w:r>
        <w:rPr/>
        <w:t>Exérèse de la tumeur</w:t>
      </w:r>
    </w:p>
    <w:p>
      <w:pPr>
        <w:numPr>
          <w:ilvl w:val="1"/>
          <w:numId w:val="42"/>
        </w:numPr>
      </w:pPr>
      <w:r>
        <w:rPr/>
        <w:t>Réduire la sécrétion acide</w:t>
      </w:r>
    </w:p>
    <w:p>
      <w:pPr>
        <w:numPr>
          <w:ilvl w:val="0"/>
          <w:numId w:val="42"/>
        </w:numPr>
      </w:pPr>
      <w:r>
        <w:rPr>
          <w:b/>
        </w:rPr>
        <w:t>Moyens</w:t>
      </w:r>
    </w:p>
    <w:p>
      <w:pPr>
        <w:numPr>
          <w:ilvl w:val="1"/>
          <w:numId w:val="42"/>
        </w:numPr>
      </w:pPr>
      <w:r>
        <w:rPr/>
        <w:t>Chirurgie</w:t>
      </w:r>
    </w:p>
    <w:p>
      <w:pPr>
        <w:numPr>
          <w:ilvl w:val="2"/>
          <w:numId w:val="42"/>
        </w:numPr>
      </w:pPr>
      <w:r>
        <w:rPr/>
        <w:t xml:space="preserve">Seule </w:t>
      </w:r>
      <w:r>
        <w:rPr>
          <w:b/>
        </w:rPr>
        <w:t xml:space="preserve">l’exérèse du gastrinome </w:t>
      </w:r>
      <w:r>
        <w:rPr/>
        <w:t>peut conduire à la guérison</w:t>
      </w:r>
    </w:p>
    <w:p>
      <w:pPr>
        <w:numPr>
          <w:ilvl w:val="2"/>
          <w:numId w:val="42"/>
        </w:numPr>
      </w:pPr>
      <w:r>
        <w:rPr/>
        <w:t>Enucléation ou pancréatectomie ou gastrectomie totale</w:t>
      </w:r>
    </w:p>
    <w:p>
      <w:pPr>
        <w:numPr>
          <w:ilvl w:val="1"/>
          <w:numId w:val="42"/>
        </w:numPr>
      </w:pPr>
      <w:r>
        <w:rPr/>
        <w:t>Traitement médical</w:t>
      </w:r>
    </w:p>
    <w:p>
      <w:pPr>
        <w:numPr>
          <w:ilvl w:val="2"/>
          <w:numId w:val="42"/>
        </w:numPr>
      </w:pPr>
      <w:r>
        <w:rPr>
          <w:b/>
        </w:rPr>
        <w:t>Un traitement médical antiacide (</w:t>
      </w:r>
      <w:r>
        <w:rPr/>
        <w:t>antiH2 et IPP)</w:t>
      </w:r>
    </w:p>
    <w:p>
      <w:pPr>
        <w:numPr>
          <w:ilvl w:val="2"/>
          <w:numId w:val="42"/>
        </w:numPr>
      </w:pPr>
      <w:r>
        <w:rPr/>
        <w:t xml:space="preserve">Chimiothérapie </w:t>
      </w:r>
    </w:p>
    <w:p>
      <w:pPr>
        <w:numPr>
          <w:ilvl w:val="0"/>
          <w:numId w:val="42"/>
        </w:numPr>
      </w:pPr>
      <w:r>
        <w:rPr>
          <w:b/>
        </w:rPr>
        <w:t>Indications</w:t>
      </w:r>
      <w:r>
        <w:rPr/>
        <w:t xml:space="preserve"> :</w:t>
      </w:r>
    </w:p>
    <w:p>
      <w:pPr>
        <w:numPr>
          <w:ilvl w:val="1"/>
          <w:numId w:val="42"/>
        </w:numPr>
      </w:pPr>
      <w:r>
        <w:rPr/>
        <w:t>Tumeurs résécables : chirurgie</w:t>
      </w:r>
    </w:p>
    <w:p>
      <w:pPr>
        <w:numPr>
          <w:ilvl w:val="1"/>
          <w:numId w:val="42"/>
        </w:numPr>
      </w:pPr>
      <w:r>
        <w:rPr/>
        <w:t>Si gastrinome appartenant à une NEM 1 : traitement chirurgical uniquement pour les tumeurs de plus de 3 cm de diamètre</w:t>
      </w:r>
      <w:r>
        <w:rPr/>
        <w:br/>
      </w:r>
    </w:p>
    <w:p>
      <w:pPr>
        <w:numPr>
          <w:ilvl w:val="1"/>
          <w:numId w:val="42"/>
        </w:numPr>
      </w:pPr>
      <w:r>
        <w:rPr/>
        <w:t>En absence de chirurgie : IPP à forte dose(</w:t>
      </w:r>
      <w:r>
        <w:rPr>
          <w:i/>
        </w:rPr>
        <w:t>jusqu’à 80mg)</w:t>
      </w:r>
      <w:r>
        <w:rPr/>
        <w:t xml:space="preserve"> et au long cours</w:t>
      </w:r>
    </w:p>
    <w:p>
      <w:pPr>
        <w:numPr>
          <w:ilvl w:val="1"/>
          <w:numId w:val="42"/>
        </w:numPr>
      </w:pPr>
      <w:r>
        <w:rPr/>
        <w:t>En cas d’hémorragie : gastrectomie totale</w:t>
      </w:r>
    </w:p>
    <w:p>
      <w:pPr>
        <w:numPr>
          <w:ilvl w:val="1"/>
          <w:numId w:val="42"/>
        </w:numPr>
      </w:pPr>
      <w:r>
        <w:rPr/>
        <w:t>Tumeur métastatique : chimiothérapie</w:t>
      </w:r>
    </w:p>
    <w:p>
      <w:pPr>
        <w:numPr>
          <w:ilvl w:val="0"/>
          <w:numId w:val="42"/>
        </w:numPr>
      </w:pPr>
      <w:r>
        <w:rPr>
          <w:b/>
        </w:rPr>
        <w:t>Résultats</w:t>
      </w:r>
      <w:r>
        <w:rPr/>
        <w:t xml:space="preserve"> :</w:t>
      </w:r>
    </w:p>
    <w:p>
      <w:pPr>
        <w:numPr>
          <w:ilvl w:val="1"/>
          <w:numId w:val="42"/>
        </w:numPr>
      </w:pPr>
      <w:r>
        <w:rPr/>
        <w:t xml:space="preserve">Survie globale à 10 ans : 50% (36% si </w:t>
      </w:r>
      <w:r>
        <w:rPr/>
        <w:t>méastase</w:t>
      </w:r>
      <w:r>
        <w:rPr/>
        <w:t xml:space="preserve"> ganglionnaire ou hépatique)</w:t>
      </w:r>
    </w:p>
    <w:p>
      <w:pPr>
        <w:numPr>
          <w:ilvl w:val="1"/>
          <w:numId w:val="42"/>
        </w:numPr>
      </w:pPr>
      <w:r>
        <w:rPr/>
        <w:t xml:space="preserve">On observe des </w:t>
      </w:r>
      <w:r>
        <w:rPr>
          <w:b/>
        </w:rPr>
        <w:t xml:space="preserve">métastases synchrones </w:t>
      </w:r>
      <w:r>
        <w:rPr/>
        <w:t>dans 5 à 20 % des patients</w:t>
      </w:r>
    </w:p>
    <w:p>
      <w:pPr>
        <w:numPr>
          <w:ilvl w:val="0"/>
          <w:numId w:val="42"/>
        </w:numPr>
      </w:pPr>
      <w:r>
        <w:rPr>
          <w:b/>
        </w:rPr>
        <w:t>Surveillance</w:t>
      </w:r>
    </w:p>
    <w:p>
      <w:pPr>
        <w:numPr>
          <w:ilvl w:val="1"/>
          <w:numId w:val="42"/>
        </w:numPr>
      </w:pPr>
      <w:r>
        <w:rPr/>
        <w:t xml:space="preserve">Apparition des métastases </w:t>
      </w:r>
      <w:r>
        <w:rPr/>
        <w:t>métachrones</w:t>
      </w:r>
      <w:r>
        <w:rPr/>
        <w:t>(</w:t>
      </w:r>
      <w:r>
        <w:rPr>
          <w:i/>
        </w:rPr>
        <w:t>apparus après le traitement)</w:t>
      </w:r>
      <w:r>
        <w:rPr/>
        <w:t xml:space="preserve"> par la clinique et morphologique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3"/>
        </w:numPr>
      </w:pPr>
      <w:r>
        <w:rPr/>
        <w:t>Rare</w:t>
      </w:r>
    </w:p>
    <w:p>
      <w:pPr>
        <w:numPr>
          <w:ilvl w:val="0"/>
          <w:numId w:val="43"/>
        </w:numPr>
      </w:pPr>
      <w:r>
        <w:rPr/>
        <w:t>= gastrinome</w:t>
      </w:r>
    </w:p>
    <w:p>
      <w:pPr>
        <w:numPr>
          <w:ilvl w:val="0"/>
          <w:numId w:val="43"/>
        </w:numPr>
      </w:pPr>
      <w:r>
        <w:rPr/>
        <w:t>Peut entrer dans le cadre de NEM 1</w:t>
      </w:r>
    </w:p>
    <w:p>
      <w:pPr>
        <w:numPr>
          <w:ilvl w:val="0"/>
          <w:numId w:val="43"/>
        </w:numPr>
      </w:pPr>
      <w:r>
        <w:rPr/>
        <w:t>Diagnostic : ulcères atypiques et diarrhée chronique</w:t>
      </w:r>
    </w:p>
    <w:p>
      <w:pPr>
        <w:numPr>
          <w:ilvl w:val="0"/>
          <w:numId w:val="43"/>
        </w:numPr>
      </w:pPr>
      <w:r>
        <w:rPr/>
        <w:t>Diagnostic biologique confirmé par l’</w:t>
      </w:r>
      <w:r>
        <w:rPr/>
        <w:t>Hypergastrinémie</w:t>
      </w:r>
      <w:r>
        <w:rPr/>
        <w:t xml:space="preserve"> et hyperacidité gastrique</w:t>
      </w:r>
    </w:p>
    <w:p>
      <w:pPr>
        <w:numPr>
          <w:ilvl w:val="0"/>
          <w:numId w:val="43"/>
        </w:numPr>
      </w:pPr>
      <w:r>
        <w:rPr/>
        <w:t>Traitement : Exérèse chirurgicale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