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lithiase biliare</w:t>
      </w:r>
    </w:p>
    <w:p>
      <w:pPr/>
      <w:r>
        <w:rPr/>
        <w:t>Dr RAKOTONAIVO MAMISOA JUDICAEL</w:t>
      </w:r>
    </w:p>
    <w:p>
      <w:pPr>
        <w:pStyle w:val="Heading2"/>
      </w:pPr>
      <w:r>
        <w:rPr/>
        <w:t>Objectifs</w:t>
      </w:r>
    </w:p>
    <w:p>
      <w:pPr/>
      <w:r>
        <w:rPr/>
        <w:t>Diagnostic et ses complications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 xml:space="preserve">Lithiase biliaire = calcul dans les voies biliaires </w:t>
      </w:r>
    </w:p>
    <w:p>
      <w:pPr/>
      <w:r>
        <w:rPr/>
        <w:t>Fréquente et bénigne (pays occidentaux)</w:t>
      </w:r>
    </w:p>
    <w:p>
      <w:pPr/>
      <w:r>
        <w:rPr/>
        <w:t>Conséquence s grave si compliquée</w:t>
      </w:r>
    </w:p>
    <w:p>
      <w:pPr>
        <w:pStyle w:val="Heading2"/>
      </w:pPr>
      <w:r>
        <w:rPr/>
        <w:t>Epidémiologie</w:t>
      </w:r>
    </w:p>
    <w:p>
      <w:pPr/>
      <w:r>
        <w:rPr/>
        <w:t>Prévalence LB = difficile à préciser car la majorité reste asymptomatiques</w:t>
      </w:r>
    </w:p>
    <w:p>
      <w:pPr/>
      <w:r>
        <w:rPr/>
        <w:t xml:space="preserve">Europe : plus de 10 à 20 M% de la population </w:t>
      </w:r>
    </w:p>
    <w:p>
      <w:pPr/>
      <w:r>
        <w:rPr/>
        <w:t xml:space="preserve">1/3 des malades ayant une LB symptomatique auront </w:t>
      </w:r>
      <w:r>
        <w:rPr/>
        <w:t>une complication</w:t>
      </w:r>
      <w:r>
        <w:rPr/>
        <w:t xml:space="preserve"> </w:t>
      </w:r>
    </w:p>
    <w:p>
      <w:pPr/>
      <w:r>
        <w:rPr/>
        <w:t xml:space="preserve">France, 160000 nouveaux cas par an </w:t>
      </w:r>
    </w:p>
    <w:p>
      <w:pPr>
        <w:pStyle w:val="Heading2"/>
      </w:pPr>
      <w:r>
        <w:rPr/>
        <w:t>Rappel</w:t>
      </w:r>
    </w:p>
    <w:p>
      <w:pPr>
        <w:pStyle w:val="Heading3"/>
      </w:pPr>
      <w:r>
        <w:rPr/>
        <w:t>La bile</w:t>
      </w:r>
    </w:p>
    <w:p>
      <w:pPr/>
      <w:r>
        <w:rPr/>
        <w:t xml:space="preserve">Solution </w:t>
      </w:r>
    </w:p>
    <w:p>
      <w:pPr>
        <w:numPr>
          <w:ilvl w:val="1"/>
          <w:numId w:val="8"/>
        </w:numPr>
      </w:pPr>
      <w:r>
        <w:rPr/>
        <w:t>Comportant 90 à 95% d’eau,</w:t>
      </w:r>
    </w:p>
    <w:p>
      <w:pPr>
        <w:numPr>
          <w:ilvl w:val="1"/>
          <w:numId w:val="8"/>
        </w:numPr>
      </w:pPr>
      <w:r>
        <w:rPr/>
        <w:t>Des électrolytes inorganiques,</w:t>
      </w:r>
    </w:p>
    <w:p>
      <w:pPr>
        <w:numPr>
          <w:ilvl w:val="1"/>
          <w:numId w:val="8"/>
        </w:numPr>
      </w:pPr>
      <w:r>
        <w:rPr/>
        <w:t>Des composée organique : bilirubine, cholestérol et phospholipide</w:t>
      </w:r>
    </w:p>
    <w:p>
      <w:pPr/>
      <w:r>
        <w:rPr/>
        <w:t>Sécrétion biliaire = 750 ml/jour</w:t>
      </w:r>
    </w:p>
    <w:p>
      <w:pPr>
        <w:pStyle w:val="Heading3"/>
      </w:pPr>
      <w:r>
        <w:rPr/>
        <w:t>Anatomie des voies biliaires</w:t>
      </w:r>
    </w:p>
    <w:p>
      <w:pPr/>
      <w:r>
        <w:rPr/>
        <w:t>Les voies biliaires sont l’ensemble des conduites qui transportent la bile sécrétée par le foie vers l’intestin</w:t>
      </w:r>
    </w:p>
    <w:p>
      <w:pPr>
        <w:pStyle w:val="Heading2"/>
      </w:pPr>
      <w:r>
        <w:rPr/>
        <w:t>Différents types de calcule biliaire</w:t>
      </w:r>
    </w:p>
    <w:p>
      <w:pPr/>
      <w:r>
        <w:rPr>
          <w:color w:val="FF0000"/>
        </w:rPr>
        <w:t xml:space="preserve">Calculs mixtes (80%) </w:t>
      </w:r>
      <w:r>
        <w:rPr/>
        <w:t>: couches concentriques de bilirubinate de calcium et de cholestérol. Couleur claire. Opaque aux rayons X</w:t>
      </w:r>
    </w:p>
    <w:p>
      <w:pPr/>
      <w:r>
        <w:rPr>
          <w:color w:val="FF0000"/>
        </w:rPr>
        <w:t>Calculs de cholestérol pur (15%)</w:t>
      </w:r>
      <w:r>
        <w:rPr/>
        <w:t xml:space="preserve"> : structure cristalline. Transparents aux rayons X </w:t>
      </w:r>
    </w:p>
    <w:p>
      <w:pPr/>
      <w:r>
        <w:rPr>
          <w:color w:val="FF0000"/>
        </w:rPr>
        <w:t xml:space="preserve">Calculs pigmentaires </w:t>
      </w:r>
      <w:r>
        <w:rPr/>
        <w:t>:</w:t>
      </w:r>
      <w:r>
        <w:rPr/>
        <w:t xml:space="preserve"> biturbines et calcium. Couleur vert foncé ou noirâtre. Transparents aux rayons X</w:t>
      </w:r>
    </w:p>
    <w:p>
      <w:pPr/>
      <w:r>
        <w:rPr>
          <w:color w:val="FF0000"/>
        </w:rPr>
        <w:t xml:space="preserve">Calculs de carbonate de calcium </w:t>
      </w:r>
      <w:r>
        <w:rPr/>
        <w:t>:</w:t>
      </w:r>
      <w:r>
        <w:rPr/>
        <w:t xml:space="preserve"> grains fins comme de stable, lourd et sédimentent au fond de la vésicule. Opaque aux rayons X</w:t>
      </w:r>
    </w:p>
    <w:p>
      <w:pPr/>
      <w:r>
        <w:rPr>
          <w:color w:val="FF0000"/>
        </w:rPr>
        <w:t xml:space="preserve">Les calculs à noyau figurés </w:t>
      </w:r>
      <w:r>
        <w:rPr/>
        <w:t>:</w:t>
      </w:r>
      <w:r>
        <w:rPr/>
        <w:t xml:space="preserve"> ont un centre formé par un parasite </w:t>
      </w:r>
    </w:p>
    <w:p>
      <w:pPr>
        <w:pStyle w:val="Heading2"/>
      </w:pPr>
      <w:r>
        <w:rPr/>
        <w:t>Facteurs favorisants la lithogénèse</w:t>
      </w:r>
    </w:p>
    <w:p>
      <w:pPr/>
      <w:r>
        <w:rPr>
          <w:color w:val="FF0000"/>
        </w:rPr>
        <w:t>Age</w:t>
      </w:r>
      <w:r>
        <w:rPr/>
        <w:t xml:space="preserve"> : augment avec l’âge</w:t>
      </w:r>
    </w:p>
    <w:p>
      <w:pPr/>
      <w:r>
        <w:rPr>
          <w:color w:val="FF0000"/>
        </w:rPr>
        <w:t>Sexe</w:t>
      </w:r>
      <w:r>
        <w:rPr/>
        <w:t xml:space="preserve"> : 2 à 3 fois plus fréquents chez la femme</w:t>
      </w:r>
    </w:p>
    <w:p>
      <w:pPr/>
      <w:r>
        <w:rPr>
          <w:color w:val="FF0000"/>
        </w:rPr>
        <w:t>Grossesse</w:t>
      </w:r>
      <w:r>
        <w:rPr/>
        <w:t xml:space="preserve"> : augmentation </w:t>
      </w:r>
      <w:r>
        <w:rPr/>
        <w:t>du</w:t>
      </w:r>
      <w:r>
        <w:rPr/>
        <w:t xml:space="preserve"> risque </w:t>
      </w:r>
    </w:p>
    <w:p>
      <w:pPr/>
      <w:r>
        <w:rPr>
          <w:color w:val="FF0000"/>
        </w:rPr>
        <w:t>Poids</w:t>
      </w:r>
      <w:r>
        <w:rPr/>
        <w:t xml:space="preserve"> : plus fréquents chez les obèses </w:t>
      </w:r>
    </w:p>
    <w:p>
      <w:pPr/>
      <w:r>
        <w:rPr>
          <w:color w:val="FF0000"/>
        </w:rPr>
        <w:t xml:space="preserve">Ethnies et facteurs génétiques </w:t>
      </w:r>
      <w:r>
        <w:rPr/>
        <w:t>: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Maximale pur tribus indienne américains </w:t>
      </w:r>
    </w:p>
    <w:p>
      <w:pPr>
        <w:numPr>
          <w:ilvl w:val="1"/>
          <w:numId w:val="8"/>
        </w:numPr>
      </w:pPr>
      <w:r>
        <w:rPr/>
        <w:t xml:space="preserve">Moyennes en Europe et Amérique du nord </w:t>
      </w:r>
    </w:p>
    <w:p>
      <w:pPr>
        <w:numPr>
          <w:ilvl w:val="1"/>
          <w:numId w:val="8"/>
        </w:numPr>
      </w:pPr>
      <w:r>
        <w:rPr/>
        <w:t>Minimale au japonais</w:t>
      </w:r>
    </w:p>
    <w:p>
      <w:pPr/>
      <w:r>
        <w:rPr/>
        <w:t xml:space="preserve">Médicaments : hypolipémiants, contraceptifs oraux riches en estrogènes, </w:t>
      </w:r>
      <w:r>
        <w:rPr/>
        <w:t>octréotide</w:t>
      </w:r>
    </w:p>
    <w:p>
      <w:pPr/>
      <w:r>
        <w:rPr/>
        <w:t xml:space="preserve">Jeune : le jeûne prolongé favorise la lithiase biliaire </w:t>
      </w:r>
    </w:p>
    <w:p>
      <w:pPr>
        <w:pStyle w:val="Heading2"/>
      </w:pPr>
      <w:r>
        <w:rPr/>
        <w:t>Histoire naturelle</w:t>
      </w:r>
    </w:p>
    <w:p>
      <w:pPr>
        <w:pStyle w:val="Heading3"/>
      </w:pPr>
      <w:r>
        <w:rPr/>
        <w:t xml:space="preserve">Lithiase biliaire non compliquée </w:t>
      </w:r>
    </w:p>
    <w:p>
      <w:pPr/>
      <w:r>
        <w:rPr/>
        <w:t>Lithiase vésiculaire (</w:t>
      </w:r>
      <w:r>
        <w:rPr/>
        <w:t>mindmap</w:t>
      </w:r>
      <w:r>
        <w:rPr/>
        <w:t>)</w:t>
      </w:r>
    </w:p>
    <w:p>
      <w:pPr>
        <w:numPr>
          <w:ilvl w:val="1"/>
          <w:numId w:val="8"/>
        </w:numPr>
      </w:pPr>
      <w:r>
        <w:rPr/>
        <w:t>Complications locales</w:t>
      </w:r>
    </w:p>
    <w:p>
      <w:pPr>
        <w:numPr>
          <w:ilvl w:val="2"/>
          <w:numId w:val="8"/>
        </w:numPr>
      </w:pPr>
      <w:r>
        <w:rPr/>
        <w:t xml:space="preserve">Cholécystite aigue </w:t>
      </w:r>
    </w:p>
    <w:p>
      <w:pPr>
        <w:numPr>
          <w:ilvl w:val="3"/>
          <w:numId w:val="8"/>
        </w:numPr>
      </w:pPr>
      <w:r>
        <w:rPr/>
        <w:t>Abcès</w:t>
      </w:r>
    </w:p>
    <w:p>
      <w:pPr>
        <w:numPr>
          <w:ilvl w:val="3"/>
          <w:numId w:val="8"/>
        </w:numPr>
      </w:pPr>
      <w:r>
        <w:rPr/>
        <w:t>Péritonite</w:t>
      </w:r>
    </w:p>
    <w:p>
      <w:pPr>
        <w:numPr>
          <w:ilvl w:val="3"/>
          <w:numId w:val="8"/>
        </w:numPr>
      </w:pPr>
      <w:r>
        <w:rPr/>
        <w:t xml:space="preserve">Cholécystite chronique </w:t>
      </w:r>
    </w:p>
    <w:p>
      <w:pPr>
        <w:numPr>
          <w:ilvl w:val="4"/>
          <w:numId w:val="8"/>
        </w:numPr>
      </w:pPr>
      <w:r>
        <w:rPr/>
        <w:t xml:space="preserve">Cancer </w:t>
      </w:r>
    </w:p>
    <w:p>
      <w:pPr>
        <w:numPr>
          <w:ilvl w:val="4"/>
          <w:numId w:val="8"/>
        </w:numPr>
      </w:pPr>
      <w:r>
        <w:rPr/>
        <w:t xml:space="preserve">Fistule </w:t>
      </w:r>
    </w:p>
    <w:p>
      <w:pPr>
        <w:numPr>
          <w:ilvl w:val="5"/>
          <w:numId w:val="8"/>
        </w:numPr>
      </w:pPr>
      <w:r>
        <w:rPr/>
        <w:t>Iléus biliaire</w:t>
      </w:r>
    </w:p>
    <w:p>
      <w:pPr>
        <w:numPr>
          <w:ilvl w:val="1"/>
          <w:numId w:val="8"/>
        </w:numPr>
      </w:pPr>
      <w:r>
        <w:rPr/>
        <w:t>Migration dans la voie biliaire principale</w:t>
      </w:r>
    </w:p>
    <w:p>
      <w:pPr>
        <w:numPr>
          <w:ilvl w:val="2"/>
          <w:numId w:val="8"/>
        </w:numPr>
      </w:pPr>
      <w:r>
        <w:rPr/>
        <w:t>Pancréatite aigue</w:t>
      </w:r>
    </w:p>
    <w:p>
      <w:pPr>
        <w:numPr>
          <w:ilvl w:val="2"/>
          <w:numId w:val="8"/>
        </w:numPr>
      </w:pPr>
      <w:r>
        <w:rPr/>
        <w:t>Angiocholite</w:t>
      </w:r>
    </w:p>
    <w:p>
      <w:pPr>
        <w:numPr>
          <w:ilvl w:val="2"/>
          <w:numId w:val="8"/>
        </w:numPr>
      </w:pPr>
      <w:r>
        <w:rPr/>
        <w:t>Syndrome cholédocien</w:t>
      </w:r>
    </w:p>
    <w:p>
      <w:pPr>
        <w:numPr>
          <w:ilvl w:val="2"/>
          <w:numId w:val="8"/>
        </w:numPr>
      </w:pPr>
      <w:r>
        <w:rPr/>
        <w:t xml:space="preserve">Forme asymptomatique </w:t>
      </w:r>
    </w:p>
    <w:p>
      <w:pPr/>
      <w:r>
        <w:rPr>
          <w:color w:val="FF0000"/>
        </w:rPr>
        <w:t xml:space="preserve">La lithiase est latente </w:t>
      </w:r>
      <w:r>
        <w:rPr/>
        <w:t>(80% des cas)</w:t>
      </w:r>
    </w:p>
    <w:p>
      <w:pPr/>
      <w:r>
        <w:rPr>
          <w:color w:val="FF0000"/>
        </w:rPr>
        <w:t>Manifestations douloureuses isolée</w:t>
      </w:r>
      <w:r>
        <w:rPr/>
        <w:t>s :</w:t>
      </w:r>
    </w:p>
    <w:p>
      <w:pPr>
        <w:numPr>
          <w:ilvl w:val="1"/>
          <w:numId w:val="8"/>
        </w:numPr>
      </w:pPr>
      <w:r>
        <w:rPr/>
        <w:t xml:space="preserve">Coliques hépatiques </w:t>
      </w:r>
    </w:p>
    <w:p>
      <w:pPr>
        <w:numPr>
          <w:ilvl w:val="1"/>
          <w:numId w:val="8"/>
        </w:numPr>
      </w:pPr>
      <w:r>
        <w:rPr/>
        <w:t>Symptomatologie fonctionnelle</w:t>
      </w:r>
    </w:p>
    <w:p>
      <w:pPr>
        <w:numPr>
          <w:ilvl w:val="1"/>
          <w:numId w:val="8"/>
        </w:numPr>
      </w:pPr>
      <w:r>
        <w:rPr/>
        <w:t>Douleur typique d’une pancréatite aiguë</w:t>
      </w:r>
    </w:p>
    <w:p>
      <w:pPr/>
      <w:r>
        <w:rPr>
          <w:color w:val="FF0000"/>
        </w:rPr>
        <w:t xml:space="preserve">Manifestation infectieuse de complications </w:t>
      </w:r>
      <w:r>
        <w:rPr/>
        <w:t>:</w:t>
      </w:r>
    </w:p>
    <w:p>
      <w:pPr>
        <w:numPr>
          <w:ilvl w:val="1"/>
          <w:numId w:val="8"/>
        </w:numPr>
      </w:pPr>
      <w:r>
        <w:rPr/>
        <w:t>Cholécystite aigue, péritonite aigue, angiocholite</w:t>
      </w:r>
    </w:p>
    <w:p>
      <w:pPr/>
      <w:r>
        <w:rPr>
          <w:color w:val="FF0000"/>
        </w:rPr>
        <w:t>Manifestations ictériques : rétention biliaire</w:t>
      </w:r>
    </w:p>
    <w:p>
      <w:pPr/>
      <w:r>
        <w:rPr>
          <w:color w:val="FF0000"/>
        </w:rPr>
        <w:t>Manifestations occlusives : iléus biliaire</w:t>
      </w:r>
      <w:r>
        <w:rPr/>
        <w:t xml:space="preserve"> </w:t>
      </w:r>
    </w:p>
    <w:p>
      <w:pPr>
        <w:pStyle w:val="Heading2"/>
      </w:pPr>
      <w:r>
        <w:rPr/>
        <w:t xml:space="preserve">Eléments de diagnostics </w:t>
      </w:r>
    </w:p>
    <w:p>
      <w:pPr>
        <w:pStyle w:val="Heading3"/>
      </w:pPr>
      <w:r>
        <w:rPr/>
        <w:t>Clinique</w:t>
      </w:r>
    </w:p>
    <w:p>
      <w:pPr>
        <w:pStyle w:val="Heading4"/>
      </w:pPr>
      <w:r>
        <w:rPr/>
        <w:t>Anamnèses</w:t>
      </w:r>
    </w:p>
    <w:p>
      <w:pPr/>
      <w:r>
        <w:rPr/>
        <w:t xml:space="preserve">La douleur = colique hépatique : </w:t>
      </w:r>
    </w:p>
    <w:p>
      <w:pPr>
        <w:numPr>
          <w:ilvl w:val="1"/>
          <w:numId w:val="8"/>
        </w:numPr>
      </w:pPr>
      <w:r>
        <w:rPr/>
        <w:t>Douleur brutale et intenses</w:t>
      </w:r>
    </w:p>
    <w:p>
      <w:pPr>
        <w:numPr>
          <w:ilvl w:val="1"/>
          <w:numId w:val="8"/>
        </w:numPr>
      </w:pPr>
      <w:r>
        <w:rPr/>
        <w:t>Siège au niveau de l’hypochondre droite</w:t>
      </w:r>
    </w:p>
    <w:p>
      <w:pPr>
        <w:numPr>
          <w:ilvl w:val="1"/>
          <w:numId w:val="8"/>
        </w:numPr>
      </w:pPr>
      <w:r>
        <w:rPr/>
        <w:t xml:space="preserve">Inhibe la respiration ou coupe l’inspiration </w:t>
      </w:r>
    </w:p>
    <w:p>
      <w:pPr>
        <w:numPr>
          <w:ilvl w:val="1"/>
          <w:numId w:val="8"/>
        </w:numPr>
      </w:pPr>
      <w:r>
        <w:rPr/>
        <w:t xml:space="preserve">Irradiation spécifique vers l’épaule droite </w:t>
      </w:r>
    </w:p>
    <w:p>
      <w:pPr>
        <w:numPr>
          <w:ilvl w:val="1"/>
          <w:numId w:val="8"/>
        </w:numPr>
      </w:pPr>
      <w:r>
        <w:rPr/>
        <w:t>Brève</w:t>
      </w:r>
    </w:p>
    <w:p>
      <w:pPr>
        <w:pStyle w:val="Heading4"/>
      </w:pPr>
      <w:r>
        <w:rPr/>
        <w:t xml:space="preserve">Examen clinique </w:t>
      </w:r>
    </w:p>
    <w:p>
      <w:pPr/>
      <w:r>
        <w:rPr/>
        <w:t xml:space="preserve">Douleur spontanée avec blocage de la respiration par : </w:t>
      </w:r>
      <w:r>
        <w:rPr>
          <w:color w:val="FF0000"/>
        </w:rPr>
        <w:t xml:space="preserve">la manœuvre de Murphy </w:t>
      </w:r>
    </w:p>
    <w:p>
      <w:pPr>
        <w:pStyle w:val="Heading3"/>
      </w:pPr>
      <w:r>
        <w:rPr/>
        <w:t>Paraclinique</w:t>
      </w:r>
    </w:p>
    <w:p>
      <w:pPr>
        <w:pStyle w:val="Heading4"/>
      </w:pPr>
      <w:r>
        <w:rPr/>
        <w:t>Echographie ou échotomographie</w:t>
      </w:r>
    </w:p>
    <w:p>
      <w:pPr/>
      <w:r>
        <w:rPr/>
        <w:t xml:space="preserve">Méthode simple de visualisation des calculs </w:t>
      </w:r>
    </w:p>
    <w:p>
      <w:pPr/>
      <w:r>
        <w:rPr/>
        <w:t xml:space="preserve">Examens de première intention, </w:t>
      </w:r>
    </w:p>
    <w:p>
      <w:pPr/>
      <w:r>
        <w:rPr/>
        <w:t>Réalisable même en présence d’un ictère</w:t>
      </w:r>
    </w:p>
    <w:p>
      <w:pPr>
        <w:numPr>
          <w:ilvl w:val="1"/>
          <w:numId w:val="8"/>
        </w:numPr>
      </w:pPr>
      <w:r>
        <w:rPr/>
        <w:t xml:space="preserve">Images hyperéchogènes </w:t>
      </w:r>
    </w:p>
    <w:p>
      <w:pPr>
        <w:numPr>
          <w:ilvl w:val="1"/>
          <w:numId w:val="8"/>
        </w:numPr>
      </w:pPr>
      <w:r>
        <w:rPr/>
        <w:t xml:space="preserve">Cônes d’ombre postérieurs </w:t>
      </w:r>
    </w:p>
    <w:p>
      <w:pPr/>
      <w:r>
        <w:rPr/>
        <w:t xml:space="preserve">Cependant, l’étude de la vois biliaire principale est souvent difficile </w:t>
      </w:r>
    </w:p>
    <w:p>
      <w:pPr/>
      <w:r>
        <w:rPr/>
        <w:t>Vérifier aussi l’épaisseur de la paroi de la vésicule biliaire (épais plus de 3 mm = infection)</w:t>
      </w:r>
    </w:p>
    <w:p>
      <w:pPr>
        <w:pStyle w:val="Heading4"/>
      </w:pPr>
      <w:r>
        <w:rPr/>
        <w:t>Examens radiographiques</w:t>
      </w:r>
    </w:p>
    <w:p>
      <w:pPr/>
      <w:r>
        <w:rPr/>
        <w:t xml:space="preserve">Une radiographie de l’abdomen sans préparation peut mettre en évidence des image calcifiées </w:t>
      </w:r>
    </w:p>
    <w:p>
      <w:pPr/>
      <w:r>
        <w:rPr/>
        <w:t>Attention : notion sur le calcul radio-transparents</w:t>
      </w:r>
    </w:p>
    <w:p>
      <w:pPr>
        <w:pStyle w:val="Heading4"/>
      </w:pPr>
      <w:r>
        <w:rPr/>
        <w:t>Autres examens</w:t>
      </w:r>
    </w:p>
    <w:p>
      <w:pPr/>
      <w:r>
        <w:rPr/>
        <w:t>Cholécystographie par voie orale : abandonnée</w:t>
      </w:r>
    </w:p>
    <w:p>
      <w:pPr/>
      <w:r>
        <w:rPr/>
        <w:t>Cholangiographie intraveineuse : abandonnée</w:t>
      </w:r>
    </w:p>
    <w:p>
      <w:pPr/>
      <w:r>
        <w:rPr/>
        <w:t>Cholangiographie rétrograde par vois endoscopique par cathétérisme de la papille. Elle permet de visualiser une lacune de bas cholédoque</w:t>
      </w:r>
    </w:p>
    <w:p>
      <w:pPr/>
      <w:r>
        <w:rPr/>
        <w:t xml:space="preserve">Cholangiographie per-opératoire injection de contraste lors de l’opération </w:t>
      </w:r>
    </w:p>
    <w:p>
      <w:pPr/>
      <w:r>
        <w:rPr/>
        <w:t>Scanographie (TDM)</w:t>
      </w:r>
    </w:p>
    <w:p>
      <w:pPr/>
      <w:r>
        <w:rPr/>
        <w:t>Bili</w:t>
      </w:r>
      <w:r>
        <w:rPr/>
        <w:t>-IRM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