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BILHARZIOSE HEPATIQUE (B.H)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28"/>
        </w:numPr>
      </w:pPr>
      <w:r>
        <w:rPr>
          <w:rFonts w:ascii="Times New Roman" w:hAnsi="Times New Roman"/>
        </w:rPr>
        <w:t>Diagnostiquer une bilharziose hépatique</w:t>
      </w:r>
    </w:p>
    <w:p>
      <w:pPr>
        <w:numPr>
          <w:ilvl w:val="0"/>
          <w:numId w:val="28"/>
        </w:numPr>
      </w:pPr>
      <w:r>
        <w:rPr>
          <w:rFonts w:ascii="Times New Roman" w:hAnsi="Times New Roman"/>
        </w:rPr>
        <w:t>Enumérer les principales complications</w:t>
      </w:r>
    </w:p>
    <w:p>
      <w:pPr>
        <w:numPr>
          <w:ilvl w:val="0"/>
          <w:numId w:val="28"/>
        </w:numPr>
      </w:pPr>
      <w:r>
        <w:rPr>
          <w:rFonts w:ascii="Times New Roman" w:hAnsi="Times New Roman"/>
        </w:rPr>
        <w:t>Décrire les principes du traitement</w:t>
      </w:r>
    </w:p>
    <w:p>
      <w:pPr/>
    </w:p>
    <w:p>
      <w:pPr>
        <w:pStyle w:val="Heading2"/>
      </w:pPr>
      <w:r>
        <w:rPr>
          <w:rFonts w:ascii="Times New Roman" w:hAnsi="Times New Roman"/>
        </w:rPr>
        <w:t>GENERALITES</w:t>
      </w:r>
    </w:p>
    <w:p>
      <w:pPr>
        <w:pStyle w:val="Heading3"/>
      </w:pPr>
      <w:r>
        <w:rPr>
          <w:rFonts w:ascii="Times New Roman" w:hAnsi="Times New Roman"/>
        </w:rPr>
        <w:t>Définition :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 xml:space="preserve">Bilharziose hépatique = schistosomiase hépatique = bilharziose </w:t>
      </w:r>
      <w:r>
        <w:rPr>
          <w:rFonts w:ascii="Times New Roman" w:hAnsi="Times New Roman"/>
        </w:rPr>
        <w:t>hépato-splénique</w:t>
      </w:r>
      <w:r>
        <w:rPr>
          <w:rFonts w:ascii="Times New Roman" w:hAnsi="Times New Roman"/>
        </w:rPr>
        <w:t xml:space="preserve"> = </w:t>
      </w:r>
      <w:r>
        <w:rPr>
          <w:rFonts w:ascii="Times New Roman" w:hAnsi="Times New Roman"/>
        </w:rPr>
        <w:t>schistosomose</w:t>
      </w:r>
      <w:r>
        <w:rPr>
          <w:rFonts w:ascii="Times New Roman" w:hAnsi="Times New Roman"/>
        </w:rPr>
        <w:t xml:space="preserve"> hépatique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B.H : due à l’infestation 2 espèces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 xml:space="preserve">S. </w:t>
      </w:r>
      <w:r>
        <w:rPr>
          <w:rFonts w:ascii="Times New Roman" w:hAnsi="Times New Roman"/>
        </w:rPr>
        <w:t>Mansoni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 xml:space="preserve">S. </w:t>
      </w:r>
      <w:r>
        <w:rPr>
          <w:rFonts w:ascii="Times New Roman" w:hAnsi="Times New Roman"/>
        </w:rPr>
        <w:t>Japonicum</w:t>
      </w:r>
      <w:r>
        <w:rPr>
          <w:rFonts w:ascii="Times New Roman" w:hAnsi="Times New Roman"/>
        </w:rPr>
        <w:t xml:space="preserve"> (inexistant à Madagascar)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 xml:space="preserve">La B.H est une complication de la bilharziose à S. </w:t>
      </w:r>
      <w:r>
        <w:rPr>
          <w:rFonts w:ascii="Times New Roman" w:hAnsi="Times New Roman"/>
        </w:rPr>
        <w:t>Mansoni</w:t>
      </w:r>
      <w:r>
        <w:rPr>
          <w:rFonts w:ascii="Times New Roman" w:hAnsi="Times New Roman"/>
        </w:rPr>
        <w:t xml:space="preserve"> avec ou sans manifestations intestinales (</w:t>
      </w:r>
      <w:r>
        <w:rPr>
          <w:rFonts w:ascii="Times New Roman" w:hAnsi="Times New Roman"/>
          <w:i/>
        </w:rPr>
        <w:t>parfois les patients ne se souviennent même pas des manifestations intestinales)</w:t>
      </w:r>
      <w:r>
        <w:rPr>
          <w:rFonts w:ascii="Times New Roman" w:hAnsi="Times New Roman"/>
          <w:i/>
        </w:rPr>
        <w:br/>
      </w:r>
    </w:p>
    <w:p>
      <w:pPr>
        <w:pStyle w:val="Heading3"/>
      </w:pPr>
      <w:r>
        <w:rPr>
          <w:rFonts w:ascii="Times New Roman" w:hAnsi="Times New Roman"/>
        </w:rPr>
        <w:t>Intérêts :</w:t>
      </w:r>
    </w:p>
    <w:p>
      <w:pPr>
        <w:pStyle w:val="Heading4"/>
      </w:pPr>
      <w:r>
        <w:rPr>
          <w:rFonts w:ascii="Times New Roman" w:hAnsi="Times New Roman"/>
        </w:rPr>
        <w:t>Prévalence :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>Mondial : la bilharziose est une cause importante d’hypertension portale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>Madagascar :</w:t>
      </w:r>
    </w:p>
    <w:p>
      <w:pPr>
        <w:numPr>
          <w:ilvl w:val="3"/>
          <w:numId w:val="29"/>
        </w:numPr>
      </w:pPr>
      <w:r>
        <w:rPr>
          <w:rFonts w:ascii="Times New Roman" w:hAnsi="Times New Roman"/>
        </w:rPr>
        <w:t xml:space="preserve">S. </w:t>
      </w:r>
      <w:r>
        <w:rPr>
          <w:rFonts w:ascii="Times New Roman" w:hAnsi="Times New Roman"/>
        </w:rPr>
        <w:t>Mansoni</w:t>
      </w:r>
      <w:r>
        <w:rPr>
          <w:rFonts w:ascii="Times New Roman" w:hAnsi="Times New Roman"/>
        </w:rPr>
        <w:t xml:space="preserve"> touche </w:t>
      </w:r>
      <w:r>
        <w:rPr>
          <w:rFonts w:ascii="Times New Roman" w:hAnsi="Times New Roman"/>
          <w:b/>
        </w:rPr>
        <w:t>2 millions de personnes</w:t>
      </w:r>
    </w:p>
    <w:p>
      <w:pPr>
        <w:numPr>
          <w:ilvl w:val="3"/>
          <w:numId w:val="29"/>
        </w:numPr>
      </w:pPr>
      <w:r>
        <w:rPr>
          <w:rFonts w:ascii="Times New Roman" w:hAnsi="Times New Roman"/>
        </w:rPr>
        <w:t>Touche essentiellement la côte Est</w:t>
      </w:r>
    </w:p>
    <w:p>
      <w:pPr/>
      <w:r>
        <w:drawing>
          <wp:inline xmlns:a="http://schemas.openxmlformats.org/drawingml/2006/main" xmlns:pic="http://schemas.openxmlformats.org/drawingml/2006/picture">
            <wp:extent cx="14833600" cy="1982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0" cy="1982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Times New Roman" w:hAnsi="Times New Roman"/>
        </w:rPr>
        <w:t>Gravité :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 xml:space="preserve">La B.H peut se compliquer d’une hémorragie digestive par rupture de varices </w:t>
      </w:r>
      <w:r>
        <w:rPr>
          <w:rFonts w:ascii="Times New Roman" w:hAnsi="Times New Roman"/>
        </w:rPr>
        <w:t>oesophagiennes</w:t>
      </w:r>
      <w:r>
        <w:rPr>
          <w:rFonts w:ascii="Times New Roman" w:hAnsi="Times New Roman"/>
        </w:rPr>
        <w:t xml:space="preserve"> --&gt; Décès</w:t>
      </w:r>
    </w:p>
    <w:p>
      <w:pPr>
        <w:pStyle w:val="Heading3"/>
      </w:pPr>
      <w:r>
        <w:rPr>
          <w:rFonts w:ascii="Times New Roman" w:hAnsi="Times New Roman"/>
        </w:rPr>
        <w:t>PHYSIOPATHOLOGIE</w:t>
      </w:r>
    </w:p>
    <w:p>
      <w:pPr>
        <w:numPr>
          <w:ilvl w:val="0"/>
          <w:numId w:val="30"/>
        </w:numPr>
      </w:pPr>
      <w:r>
        <w:rPr>
          <w:rFonts w:ascii="Times New Roman" w:hAnsi="Times New Roman"/>
          <w:b/>
        </w:rPr>
        <w:t>Cycle parasitaire</w:t>
      </w:r>
    </w:p>
    <w:p>
      <w:pPr>
        <w:numPr>
          <w:ilvl w:val="1"/>
          <w:numId w:val="30"/>
        </w:numPr>
      </w:pPr>
      <w:r>
        <w:drawing>
          <wp:inline xmlns:a="http://schemas.openxmlformats.org/drawingml/2006/main" xmlns:pic="http://schemas.openxmlformats.org/drawingml/2006/picture">
            <wp:extent cx="22936200" cy="171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0" cy="171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30"/>
        </w:numPr>
      </w:pPr>
      <w:r>
        <w:rPr>
          <w:rFonts w:ascii="Times New Roman" w:hAnsi="Times New Roman"/>
        </w:rPr>
        <w:t xml:space="preserve">Dans les selles : </w:t>
      </w:r>
      <w:r>
        <w:rPr>
          <w:rFonts w:ascii="Times New Roman" w:hAnsi="Times New Roman"/>
        </w:rPr>
        <w:t>oeufs</w:t>
      </w:r>
      <w:r>
        <w:rPr>
          <w:rFonts w:ascii="Times New Roman" w:hAnsi="Times New Roman"/>
        </w:rPr>
        <w:t xml:space="preserve"> de S. </w:t>
      </w:r>
      <w:r>
        <w:rPr>
          <w:rFonts w:ascii="Times New Roman" w:hAnsi="Times New Roman"/>
        </w:rPr>
        <w:t>Mansoni</w:t>
      </w:r>
      <w:r>
        <w:rPr>
          <w:rFonts w:ascii="Times New Roman" w:hAnsi="Times New Roman"/>
        </w:rPr>
        <w:t xml:space="preserve"> qui vont passer dans le milieu extérieur</w:t>
      </w:r>
    </w:p>
    <w:p>
      <w:pPr>
        <w:numPr>
          <w:ilvl w:val="1"/>
          <w:numId w:val="30"/>
        </w:numPr>
      </w:pPr>
      <w:r>
        <w:rPr>
          <w:rFonts w:ascii="Times New Roman" w:hAnsi="Times New Roman"/>
          <w:b/>
        </w:rPr>
        <w:t xml:space="preserve">Eclosion : </w:t>
      </w:r>
      <w:r>
        <w:rPr>
          <w:rFonts w:ascii="Times New Roman" w:hAnsi="Times New Roman"/>
        </w:rPr>
        <w:t>en eau douce, lorsque les conditions sont remplies (25-30°, ensoleillement, pH neutre)</w:t>
      </w:r>
    </w:p>
    <w:p>
      <w:pPr>
        <w:numPr>
          <w:ilvl w:val="1"/>
          <w:numId w:val="30"/>
        </w:numPr>
      </w:pPr>
      <w:r>
        <w:rPr>
          <w:rFonts w:ascii="Times New Roman" w:hAnsi="Times New Roman"/>
        </w:rPr>
        <w:t>Libération de miracidium à la recherche d’hôte intermédiaire : Mollusques (pénétration active)</w:t>
      </w:r>
    </w:p>
    <w:p>
      <w:pPr>
        <w:numPr>
          <w:ilvl w:val="1"/>
          <w:numId w:val="30"/>
        </w:numPr>
      </w:pPr>
      <w:r>
        <w:rPr>
          <w:rFonts w:ascii="Times New Roman" w:hAnsi="Times New Roman"/>
        </w:rPr>
        <w:t xml:space="preserve">Première maturation -&gt; formation de </w:t>
      </w:r>
      <w:r>
        <w:rPr>
          <w:rFonts w:ascii="Times New Roman" w:hAnsi="Times New Roman"/>
        </w:rPr>
        <w:t>furcocercaire</w:t>
      </w:r>
    </w:p>
    <w:p>
      <w:pPr>
        <w:numPr>
          <w:ilvl w:val="1"/>
          <w:numId w:val="30"/>
        </w:numPr>
      </w:pPr>
      <w:r>
        <w:rPr>
          <w:rFonts w:ascii="Times New Roman" w:hAnsi="Times New Roman"/>
        </w:rPr>
        <w:t>Infestation de l’homme : bains en eau douce contaminée</w:t>
      </w:r>
    </w:p>
    <w:p>
      <w:pPr>
        <w:numPr>
          <w:ilvl w:val="1"/>
          <w:numId w:val="30"/>
        </w:numPr>
      </w:pPr>
      <w:r>
        <w:rPr>
          <w:rFonts w:ascii="Times New Roman" w:hAnsi="Times New Roman"/>
        </w:rPr>
        <w:t xml:space="preserve">Pénétration cutanée du </w:t>
      </w:r>
      <w:r>
        <w:rPr>
          <w:rFonts w:ascii="Times New Roman" w:hAnsi="Times New Roman"/>
        </w:rPr>
        <w:t>furcocercaire</w:t>
      </w:r>
    </w:p>
    <w:p>
      <w:pPr>
        <w:numPr>
          <w:ilvl w:val="1"/>
          <w:numId w:val="30"/>
        </w:numPr>
      </w:pPr>
      <w:r>
        <w:rPr>
          <w:rFonts w:ascii="Times New Roman" w:hAnsi="Times New Roman"/>
        </w:rPr>
        <w:t>-&gt; Foie : maturation</w:t>
      </w:r>
    </w:p>
    <w:p>
      <w:pPr>
        <w:numPr>
          <w:ilvl w:val="1"/>
          <w:numId w:val="30"/>
        </w:numPr>
      </w:pPr>
      <w:r>
        <w:rPr>
          <w:rFonts w:ascii="Times New Roman" w:hAnsi="Times New Roman"/>
        </w:rPr>
        <w:t>Migration de la femelle vers la veine mésentérique inférieure (via la veine porte)</w:t>
      </w:r>
    </w:p>
    <w:p>
      <w:pPr>
        <w:numPr>
          <w:ilvl w:val="1"/>
          <w:numId w:val="30"/>
        </w:numPr>
      </w:pPr>
      <w:r>
        <w:rPr>
          <w:rFonts w:ascii="Times New Roman" w:hAnsi="Times New Roman"/>
          <w:b/>
        </w:rPr>
        <w:t xml:space="preserve">Ponte : 30 - 300 </w:t>
      </w:r>
      <w:r>
        <w:rPr>
          <w:rFonts w:ascii="Times New Roman" w:hAnsi="Times New Roman"/>
          <w:b/>
        </w:rPr>
        <w:t>œufs</w:t>
      </w:r>
      <w:r>
        <w:rPr>
          <w:rFonts w:ascii="Times New Roman" w:hAnsi="Times New Roman"/>
          <w:b/>
        </w:rPr>
        <w:t>/jour</w:t>
      </w:r>
    </w:p>
    <w:p>
      <w:pPr>
        <w:numPr>
          <w:ilvl w:val="1"/>
          <w:numId w:val="30"/>
        </w:numPr>
      </w:pPr>
      <w:r>
        <w:rPr>
          <w:rFonts w:ascii="Times New Roman" w:hAnsi="Times New Roman"/>
          <w:b/>
        </w:rPr>
        <w:t xml:space="preserve">Destination des </w:t>
      </w:r>
      <w:r>
        <w:rPr>
          <w:rFonts w:ascii="Times New Roman" w:hAnsi="Times New Roman"/>
          <w:b/>
        </w:rPr>
        <w:t>œufs</w:t>
      </w:r>
      <w:r>
        <w:rPr>
          <w:rFonts w:ascii="Times New Roman" w:hAnsi="Times New Roman"/>
          <w:b/>
        </w:rPr>
        <w:t xml:space="preserve"> :</w:t>
      </w:r>
    </w:p>
    <w:p>
      <w:pPr>
        <w:numPr>
          <w:ilvl w:val="2"/>
          <w:numId w:val="30"/>
        </w:numPr>
      </w:pPr>
      <w:r>
        <w:rPr>
          <w:rFonts w:ascii="Times New Roman" w:hAnsi="Times New Roman"/>
        </w:rPr>
        <w:t>Traversent la paroi colique et passent dans les selles</w:t>
      </w:r>
    </w:p>
    <w:p>
      <w:pPr>
        <w:numPr>
          <w:ilvl w:val="2"/>
          <w:numId w:val="30"/>
        </w:numPr>
      </w:pPr>
      <w:r>
        <w:rPr>
          <w:rFonts w:ascii="Times New Roman" w:hAnsi="Times New Roman"/>
        </w:rPr>
        <w:t>Passent par la veine porte puis veinules --&gt; à l’intérieur des lobules : embolisent les veinules intra-hépatiques</w:t>
      </w:r>
    </w:p>
    <w:p>
      <w:pPr>
        <w:numPr>
          <w:ilvl w:val="2"/>
          <w:numId w:val="30"/>
        </w:numPr>
      </w:pPr>
      <w:r>
        <w:rPr>
          <w:rFonts w:ascii="Times New Roman" w:hAnsi="Times New Roman"/>
        </w:rPr>
        <w:t>Réaction granulomateuse autour de l’</w:t>
      </w:r>
      <w:r>
        <w:rPr>
          <w:rFonts w:ascii="Times New Roman" w:hAnsi="Times New Roman"/>
        </w:rPr>
        <w:t>œuf</w:t>
      </w:r>
      <w:r>
        <w:rPr>
          <w:rFonts w:ascii="Times New Roman" w:hAnsi="Times New Roman"/>
        </w:rPr>
        <w:t xml:space="preserve"> (intra-hépatique et sur la paroi colique)</w:t>
      </w:r>
    </w:p>
    <w:p>
      <w:pPr>
        <w:numPr>
          <w:ilvl w:val="2"/>
          <w:numId w:val="30"/>
        </w:numPr>
      </w:pPr>
      <w:r>
        <w:rPr>
          <w:rFonts w:ascii="Times New Roman" w:hAnsi="Times New Roman"/>
        </w:rPr>
        <w:t xml:space="preserve">-&gt; </w:t>
      </w:r>
      <w:r>
        <w:rPr>
          <w:rFonts w:ascii="Times New Roman" w:hAnsi="Times New Roman"/>
          <w:b/>
        </w:rPr>
        <w:t xml:space="preserve">sclérose de l’espace porte </w:t>
      </w:r>
      <w:r>
        <w:rPr>
          <w:rFonts w:ascii="Times New Roman" w:hAnsi="Times New Roman"/>
        </w:rPr>
        <w:t xml:space="preserve">(réaction fibreuse) : </w:t>
      </w:r>
      <w:r>
        <w:rPr>
          <w:rFonts w:ascii="Times New Roman" w:hAnsi="Times New Roman"/>
          <w:b/>
        </w:rPr>
        <w:t>“sclérose en tuyau de pipe”</w:t>
      </w:r>
    </w:p>
    <w:p>
      <w:pPr>
        <w:numPr>
          <w:ilvl w:val="2"/>
          <w:numId w:val="30"/>
        </w:numPr>
      </w:pPr>
      <w:r>
        <w:rPr>
          <w:rFonts w:ascii="Times New Roman" w:hAnsi="Times New Roman"/>
          <w:b/>
        </w:rPr>
        <w:t xml:space="preserve">Pas de nodule de régénération : </w:t>
      </w:r>
      <w:r>
        <w:rPr>
          <w:rFonts w:ascii="Times New Roman" w:hAnsi="Times New Roman"/>
        </w:rPr>
        <w:t>PAS DE CIRRHOSE</w:t>
      </w:r>
    </w:p>
    <w:p>
      <w:pPr>
        <w:numPr>
          <w:ilvl w:val="2"/>
          <w:numId w:val="30"/>
        </w:numPr>
      </w:pPr>
      <w:r>
        <w:rPr>
          <w:rFonts w:ascii="Times New Roman" w:hAnsi="Times New Roman"/>
        </w:rPr>
        <w:t>Les premières manifestations de l’atteinte hépatique peuvent apparaître 10-20 ans après la contamination</w:t>
      </w:r>
    </w:p>
    <w:p>
      <w:pPr/>
    </w:p>
    <w:p>
      <w:pPr>
        <w:pStyle w:val="Heading2"/>
      </w:pPr>
      <w:r>
        <w:rPr>
          <w:rFonts w:ascii="Times New Roman" w:hAnsi="Times New Roman"/>
        </w:rPr>
        <w:t>SIGNES</w:t>
      </w:r>
      <w:r>
        <w:rPr>
          <w:rFonts w:ascii="Times New Roman" w:hAnsi="Times New Roman"/>
        </w:rPr>
        <w:t xml:space="preserve"> </w:t>
      </w:r>
    </w:p>
    <w:p>
      <w:pPr>
        <w:pStyle w:val="Heading3"/>
        <w:numPr>
          <w:ilvl w:val="0"/>
          <w:numId w:val="77"/>
        </w:numPr>
      </w:pPr>
      <w:r>
        <w:rPr>
          <w:rFonts w:ascii="Times New Roman" w:hAnsi="Times New Roman"/>
        </w:rPr>
        <w:t>TYPE DE DESCRIPTION : “BILHARZIOSE HEPATIQUE SANS SIGNE DE DECOMPENSATION”</w:t>
      </w:r>
    </w:p>
    <w:p>
      <w:pPr>
        <w:pStyle w:val="Heading4"/>
        <w:numPr>
          <w:ilvl w:val="0"/>
          <w:numId w:val="78"/>
        </w:numPr>
      </w:pPr>
      <w:r>
        <w:rPr>
          <w:rFonts w:ascii="Times New Roman" w:hAnsi="Times New Roman"/>
        </w:rPr>
        <w:t>Signes cliniques</w:t>
      </w:r>
    </w:p>
    <w:p>
      <w:pPr>
        <w:numPr>
          <w:ilvl w:val="2"/>
          <w:numId w:val="31"/>
        </w:numPr>
      </w:pPr>
      <w:r>
        <w:rPr>
          <w:rFonts w:ascii="Times New Roman" w:hAnsi="Times New Roman"/>
          <w:b/>
          <w:u w:val="single"/>
        </w:rPr>
        <w:t>Signes fonctionnels :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Pratiquement rien au début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Pesanteur de l’HCD(</w:t>
      </w:r>
      <w:r>
        <w:rPr>
          <w:rFonts w:ascii="Times New Roman" w:hAnsi="Times New Roman"/>
          <w:i/>
        </w:rPr>
        <w:t xml:space="preserve">hépatomégalie) </w:t>
      </w:r>
      <w:r>
        <w:rPr>
          <w:rFonts w:ascii="Times New Roman" w:hAnsi="Times New Roman"/>
        </w:rPr>
        <w:t>et de l’HCG (</w:t>
      </w:r>
      <w:r>
        <w:rPr>
          <w:rFonts w:ascii="Times New Roman" w:hAnsi="Times New Roman"/>
          <w:i/>
        </w:rPr>
        <w:t>splénomégalie)</w:t>
      </w:r>
      <w:r>
        <w:rPr>
          <w:rFonts w:ascii="Times New Roman" w:hAnsi="Times New Roman"/>
          <w:i/>
        </w:rPr>
        <w:br/>
      </w:r>
    </w:p>
    <w:p>
      <w:pPr>
        <w:numPr>
          <w:ilvl w:val="2"/>
          <w:numId w:val="31"/>
        </w:numPr>
      </w:pPr>
      <w:r>
        <w:rPr>
          <w:rFonts w:ascii="Times New Roman" w:hAnsi="Times New Roman"/>
          <w:b/>
          <w:u w:val="single"/>
        </w:rPr>
        <w:t>Signes physiques :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Voussure de HCD et de l’HCG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Splénomégalie importante (stade 3-4) “</w:t>
      </w:r>
      <w:r>
        <w:rPr>
          <w:rFonts w:ascii="Times New Roman" w:hAnsi="Times New Roman"/>
          <w:i/>
        </w:rPr>
        <w:t>il n’</w:t>
      </w:r>
      <w:r>
        <w:rPr>
          <w:rFonts w:ascii="Times New Roman" w:hAnsi="Times New Roman"/>
          <w:i/>
        </w:rPr>
        <w:t>ya</w:t>
      </w:r>
      <w:r>
        <w:rPr>
          <w:rFonts w:ascii="Times New Roman" w:hAnsi="Times New Roman"/>
          <w:i/>
        </w:rPr>
        <w:t xml:space="preserve"> pas de BH sans splénomégalie”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Foie normal ou augmenté de volume</w:t>
      </w:r>
      <w:r>
        <w:rPr>
          <w:rFonts w:ascii="Times New Roman" w:hAnsi="Times New Roman"/>
        </w:rPr>
        <w:br/>
      </w:r>
    </w:p>
    <w:p>
      <w:pPr>
        <w:pStyle w:val="Heading4"/>
        <w:numPr>
          <w:ilvl w:val="0"/>
          <w:numId w:val="78"/>
        </w:numPr>
      </w:pPr>
      <w:r>
        <w:rPr>
          <w:rFonts w:ascii="Times New Roman" w:hAnsi="Times New Roman"/>
        </w:rPr>
        <w:t>Signes biologiques :</w:t>
      </w:r>
    </w:p>
    <w:p>
      <w:pPr>
        <w:numPr>
          <w:ilvl w:val="2"/>
          <w:numId w:val="31"/>
        </w:numPr>
      </w:pPr>
      <w:r>
        <w:rPr>
          <w:rFonts w:ascii="Times New Roman" w:hAnsi="Times New Roman"/>
          <w:b/>
          <w:u w:val="single"/>
        </w:rPr>
        <w:t>Bilan hépatique :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Cholestase anictérique : PAL et GGT augmentées (pas d’élévation de la bilirubinémie)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Pas de cytolyse hépatique (ASAT et ALAT normales)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Pas d’IHC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Augmentation des immunoglobulines (</w:t>
      </w:r>
      <w:r>
        <w:rPr>
          <w:rFonts w:ascii="Times New Roman" w:hAnsi="Times New Roman"/>
          <w:i/>
        </w:rPr>
        <w:t>gammaglobulines sur l’EPP)</w:t>
      </w:r>
      <w:r>
        <w:rPr>
          <w:rFonts w:ascii="Times New Roman" w:hAnsi="Times New Roman"/>
          <w:i/>
        </w:rPr>
        <w:br/>
      </w:r>
    </w:p>
    <w:p>
      <w:pPr>
        <w:numPr>
          <w:ilvl w:val="2"/>
          <w:numId w:val="31"/>
        </w:numPr>
      </w:pPr>
      <w:r>
        <w:rPr>
          <w:rFonts w:ascii="Times New Roman" w:hAnsi="Times New Roman"/>
          <w:b/>
        </w:rPr>
        <w:t>Hémogramme :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+/- Hyperéosinophilie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 xml:space="preserve">Pancytopénie à la longue (par hypersplénisme </w:t>
      </w:r>
      <w:r>
        <w:rPr>
          <w:rFonts w:ascii="Times New Roman" w:hAnsi="Times New Roman"/>
          <w:i/>
        </w:rPr>
        <w:t>de la rate augmenté de volume)</w:t>
      </w:r>
      <w:r>
        <w:rPr>
          <w:rFonts w:ascii="Times New Roman" w:hAnsi="Times New Roman"/>
          <w:i/>
        </w:rPr>
        <w:br/>
      </w:r>
    </w:p>
    <w:p>
      <w:pPr>
        <w:numPr>
          <w:ilvl w:val="2"/>
          <w:numId w:val="31"/>
        </w:numPr>
      </w:pPr>
      <w:r>
        <w:rPr>
          <w:rFonts w:ascii="Times New Roman" w:hAnsi="Times New Roman"/>
          <w:b/>
        </w:rPr>
        <w:t>Selles KAOP :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Recherche d’</w:t>
      </w:r>
      <w:r>
        <w:rPr>
          <w:rFonts w:ascii="Times New Roman" w:hAnsi="Times New Roman"/>
        </w:rPr>
        <w:t>oeufs</w:t>
      </w:r>
      <w:r>
        <w:rPr>
          <w:rFonts w:ascii="Times New Roman" w:hAnsi="Times New Roman"/>
        </w:rPr>
        <w:t xml:space="preserve"> de S. </w:t>
      </w:r>
      <w:r>
        <w:rPr>
          <w:rFonts w:ascii="Times New Roman" w:hAnsi="Times New Roman"/>
        </w:rPr>
        <w:t>Mansoni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Souvent négative (</w:t>
      </w:r>
      <w:r>
        <w:rPr>
          <w:rFonts w:ascii="Times New Roman" w:hAnsi="Times New Roman"/>
          <w:i/>
        </w:rPr>
        <w:t xml:space="preserve">la </w:t>
      </w:r>
      <w:r>
        <w:rPr>
          <w:rFonts w:ascii="Times New Roman" w:hAnsi="Times New Roman"/>
          <w:i/>
        </w:rPr>
        <w:t>femmelle</w:t>
      </w:r>
      <w:r>
        <w:rPr>
          <w:rFonts w:ascii="Times New Roman" w:hAnsi="Times New Roman"/>
          <w:i/>
        </w:rPr>
        <w:t xml:space="preserve"> ne pond plus ou a déjà reçu un traitement)</w:t>
      </w:r>
      <w:r>
        <w:rPr>
          <w:rFonts w:ascii="Times New Roman" w:hAnsi="Times New Roman"/>
          <w:i/>
        </w:rPr>
        <w:br/>
      </w:r>
    </w:p>
    <w:p>
      <w:pPr>
        <w:numPr>
          <w:ilvl w:val="2"/>
          <w:numId w:val="31"/>
        </w:numPr>
      </w:pPr>
      <w:r>
        <w:rPr>
          <w:rFonts w:ascii="Times New Roman" w:hAnsi="Times New Roman"/>
          <w:b/>
        </w:rPr>
        <w:t>Sérologie bilharzienne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 xml:space="preserve">Presque toujours positive 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N’indique pas l’évolutivité (</w:t>
      </w:r>
      <w:r>
        <w:rPr>
          <w:rFonts w:ascii="Times New Roman" w:hAnsi="Times New Roman"/>
          <w:i/>
        </w:rPr>
        <w:t>permet juste de dire que : le patient a été en contact avec le parasite) On ne traite pas une sérologie positive car elle sera positive jusqu’à sa mort</w:t>
      </w:r>
      <w:r>
        <w:rPr>
          <w:rFonts w:ascii="Times New Roman" w:hAnsi="Times New Roman"/>
          <w:i/>
        </w:rPr>
        <w:br/>
      </w:r>
    </w:p>
    <w:p>
      <w:pPr>
        <w:pStyle w:val="Heading4"/>
        <w:numPr>
          <w:ilvl w:val="0"/>
          <w:numId w:val="78"/>
        </w:numPr>
      </w:pPr>
      <w:r>
        <w:rPr>
          <w:rFonts w:ascii="Times New Roman" w:hAnsi="Times New Roman"/>
        </w:rPr>
        <w:t>Examens morphologiques :</w:t>
      </w:r>
    </w:p>
    <w:p>
      <w:pPr>
        <w:numPr>
          <w:ilvl w:val="2"/>
          <w:numId w:val="31"/>
        </w:numPr>
      </w:pPr>
      <w:r>
        <w:rPr>
          <w:rFonts w:ascii="Times New Roman" w:hAnsi="Times New Roman"/>
          <w:b/>
        </w:rPr>
        <w:t>Echographie abdominale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Confirme la splénomégalie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Met en évidence les signes d’HTP</w:t>
      </w:r>
    </w:p>
    <w:p>
      <w:pPr>
        <w:numPr>
          <w:ilvl w:val="4"/>
          <w:numId w:val="31"/>
        </w:numPr>
      </w:pPr>
      <w:r>
        <w:rPr>
          <w:rFonts w:ascii="Times New Roman" w:hAnsi="Times New Roman"/>
        </w:rPr>
        <w:t>Veine porte dilatée</w:t>
      </w:r>
    </w:p>
    <w:p>
      <w:pPr>
        <w:numPr>
          <w:ilvl w:val="4"/>
          <w:numId w:val="31"/>
        </w:numPr>
      </w:pPr>
      <w:r>
        <w:rPr>
          <w:rFonts w:ascii="Times New Roman" w:hAnsi="Times New Roman"/>
        </w:rPr>
        <w:t>Circulations collatérales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Fibrose de la veine porte (</w:t>
      </w:r>
      <w:r>
        <w:rPr>
          <w:rFonts w:ascii="Times New Roman" w:hAnsi="Times New Roman"/>
          <w:i/>
        </w:rPr>
        <w:t>à l’intérieur du foie)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Dysmorphie hépatique :</w:t>
      </w:r>
    </w:p>
    <w:p>
      <w:pPr>
        <w:numPr>
          <w:ilvl w:val="4"/>
          <w:numId w:val="31"/>
        </w:numPr>
      </w:pPr>
      <w:r>
        <w:rPr>
          <w:rFonts w:ascii="Times New Roman" w:hAnsi="Times New Roman"/>
        </w:rPr>
        <w:t>Atrophie du lobe droit</w:t>
      </w:r>
    </w:p>
    <w:p>
      <w:pPr>
        <w:numPr>
          <w:ilvl w:val="4"/>
          <w:numId w:val="31"/>
        </w:numPr>
      </w:pPr>
      <w:r>
        <w:rPr>
          <w:rFonts w:ascii="Times New Roman" w:hAnsi="Times New Roman"/>
        </w:rPr>
        <w:t>Hypertrophie du lobe gauche</w:t>
      </w:r>
      <w:r>
        <w:rPr>
          <w:rFonts w:ascii="Times New Roman" w:hAnsi="Times New Roman"/>
        </w:rPr>
        <w:br/>
      </w:r>
    </w:p>
    <w:p>
      <w:pPr>
        <w:numPr>
          <w:ilvl w:val="2"/>
          <w:numId w:val="31"/>
        </w:numPr>
      </w:pPr>
      <w:r>
        <w:rPr>
          <w:rFonts w:ascii="Times New Roman" w:hAnsi="Times New Roman"/>
          <w:b/>
        </w:rPr>
        <w:t xml:space="preserve">TDM-IRM : </w:t>
      </w:r>
      <w:r>
        <w:rPr>
          <w:rFonts w:ascii="Times New Roman" w:hAnsi="Times New Roman"/>
        </w:rPr>
        <w:t>non indispensable au diagnostic. On retrouvera les mêmes images qu’à l’échographie</w:t>
      </w:r>
      <w:r>
        <w:rPr>
          <w:rFonts w:ascii="Times New Roman" w:hAnsi="Times New Roman"/>
        </w:rPr>
        <w:br/>
      </w:r>
    </w:p>
    <w:p>
      <w:pPr>
        <w:numPr>
          <w:ilvl w:val="2"/>
          <w:numId w:val="31"/>
        </w:numPr>
      </w:pPr>
      <w:r>
        <w:rPr>
          <w:rFonts w:ascii="Times New Roman" w:hAnsi="Times New Roman"/>
          <w:b/>
        </w:rPr>
        <w:t>Endoscopie digestive haute</w:t>
      </w:r>
      <w:r>
        <w:rPr>
          <w:rFonts w:ascii="Times New Roman" w:hAnsi="Times New Roman"/>
          <w:b/>
        </w:rPr>
        <w:t xml:space="preserve"> : +</w:t>
      </w:r>
      <w:r>
        <w:rPr>
          <w:rFonts w:ascii="Times New Roman" w:hAnsi="Times New Roman"/>
          <w:b/>
        </w:rPr>
        <w:t>+</w:t>
      </w:r>
    </w:p>
    <w:p>
      <w:pPr>
        <w:numPr>
          <w:ilvl w:val="3"/>
          <w:numId w:val="31"/>
        </w:numPr>
      </w:pPr>
      <w:r>
        <w:rPr>
          <w:rFonts w:ascii="Times New Roman" w:hAnsi="Times New Roman"/>
          <w:b/>
        </w:rPr>
        <w:t>Signes d’hypertension portale</w:t>
      </w:r>
    </w:p>
    <w:p>
      <w:pPr>
        <w:numPr>
          <w:ilvl w:val="4"/>
          <w:numId w:val="31"/>
        </w:numPr>
      </w:pPr>
      <w:r>
        <w:rPr>
          <w:rFonts w:ascii="Times New Roman" w:hAnsi="Times New Roman"/>
        </w:rPr>
        <w:t xml:space="preserve">Varices </w:t>
      </w:r>
      <w:r>
        <w:rPr>
          <w:rFonts w:ascii="Times New Roman" w:hAnsi="Times New Roman"/>
        </w:rPr>
        <w:t>œsophagiennes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</w:rPr>
        <w:t>énormes au cours de BH)</w:t>
      </w:r>
    </w:p>
    <w:p>
      <w:pPr>
        <w:numPr>
          <w:ilvl w:val="4"/>
          <w:numId w:val="31"/>
        </w:numPr>
      </w:pPr>
      <w:r>
        <w:rPr>
          <w:rFonts w:ascii="Times New Roman" w:hAnsi="Times New Roman"/>
        </w:rPr>
        <w:t>Varices cardio-tubérositaires</w:t>
      </w:r>
    </w:p>
    <w:p>
      <w:pPr>
        <w:numPr>
          <w:ilvl w:val="4"/>
          <w:numId w:val="31"/>
        </w:numPr>
      </w:pPr>
      <w:r>
        <w:rPr>
          <w:rFonts w:ascii="Times New Roman" w:hAnsi="Times New Roman"/>
        </w:rPr>
        <w:t>Gastropathie</w:t>
      </w:r>
      <w:r>
        <w:rPr>
          <w:rFonts w:ascii="Times New Roman" w:hAnsi="Times New Roman"/>
        </w:rPr>
        <w:t xml:space="preserve"> d’hypertension portale</w:t>
      </w:r>
      <w:r>
        <w:rPr>
          <w:rFonts w:ascii="Times New Roman" w:hAnsi="Times New Roman"/>
        </w:rPr>
        <w:br/>
      </w:r>
    </w:p>
    <w:p>
      <w:pPr>
        <w:numPr>
          <w:ilvl w:val="2"/>
          <w:numId w:val="31"/>
        </w:numPr>
      </w:pPr>
      <w:r>
        <w:rPr>
          <w:rFonts w:ascii="Times New Roman" w:hAnsi="Times New Roman"/>
          <w:b/>
        </w:rPr>
        <w:t>Rectosigmoïdoscopie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Lésions évocatrices de bilharziose :</w:t>
      </w:r>
    </w:p>
    <w:p>
      <w:pPr>
        <w:numPr>
          <w:ilvl w:val="4"/>
          <w:numId w:val="31"/>
        </w:numPr>
      </w:pPr>
      <w:r>
        <w:rPr>
          <w:rFonts w:ascii="Times New Roman" w:hAnsi="Times New Roman"/>
        </w:rPr>
        <w:t>Œdème</w:t>
      </w:r>
      <w:r>
        <w:rPr>
          <w:rFonts w:ascii="Times New Roman" w:hAnsi="Times New Roman"/>
        </w:rPr>
        <w:t xml:space="preserve"> de la muqueuse</w:t>
      </w:r>
    </w:p>
    <w:p>
      <w:pPr>
        <w:numPr>
          <w:ilvl w:val="4"/>
          <w:numId w:val="31"/>
        </w:numPr>
      </w:pPr>
      <w:r>
        <w:rPr>
          <w:rFonts w:ascii="Times New Roman" w:hAnsi="Times New Roman"/>
        </w:rPr>
        <w:t>Ulcérations rectales</w:t>
      </w:r>
    </w:p>
    <w:p>
      <w:pPr>
        <w:numPr>
          <w:ilvl w:val="4"/>
          <w:numId w:val="31"/>
        </w:numPr>
      </w:pPr>
      <w:r>
        <w:rPr>
          <w:rFonts w:ascii="Times New Roman" w:hAnsi="Times New Roman"/>
        </w:rPr>
        <w:t>Surtout : granulations blanchâtres au niveau de la paroi rectale</w:t>
      </w:r>
    </w:p>
    <w:p>
      <w:pPr>
        <w:numPr>
          <w:ilvl w:val="4"/>
          <w:numId w:val="31"/>
        </w:numPr>
      </w:pPr>
      <w:r>
        <w:rPr>
          <w:rFonts w:ascii="Times New Roman" w:hAnsi="Times New Roman"/>
        </w:rPr>
        <w:t>Pseudo-polypes inflammatoires</w:t>
      </w:r>
      <w:r>
        <w:rPr>
          <w:rFonts w:ascii="Times New Roman" w:hAnsi="Times New Roman"/>
        </w:rPr>
        <w:br/>
      </w:r>
    </w:p>
    <w:p>
      <w:pPr>
        <w:numPr>
          <w:ilvl w:val="2"/>
          <w:numId w:val="31"/>
        </w:numPr>
      </w:pPr>
      <w:r>
        <w:rPr>
          <w:rFonts w:ascii="Times New Roman" w:hAnsi="Times New Roman"/>
          <w:b/>
        </w:rPr>
        <w:t>Biopsie de la muqueuse rectale (sur ces lésions)</w:t>
      </w:r>
    </w:p>
    <w:p>
      <w:pPr>
        <w:numPr>
          <w:ilvl w:val="2"/>
          <w:numId w:val="31"/>
        </w:numPr>
      </w:pPr>
      <w:r>
        <w:rPr>
          <w:rFonts w:ascii="Times New Roman" w:hAnsi="Times New Roman"/>
          <w:b/>
        </w:rPr>
        <w:t xml:space="preserve">Examen anatomo-pathologique </w:t>
      </w:r>
    </w:p>
    <w:p>
      <w:pPr>
        <w:numPr>
          <w:ilvl w:val="3"/>
          <w:numId w:val="31"/>
        </w:numPr>
      </w:pPr>
      <w:r>
        <w:rPr>
          <w:rFonts w:ascii="Times New Roman" w:hAnsi="Times New Roman"/>
          <w:b/>
        </w:rPr>
        <w:t>Œufs</w:t>
      </w:r>
      <w:r>
        <w:rPr>
          <w:rFonts w:ascii="Times New Roman" w:hAnsi="Times New Roman"/>
          <w:b/>
        </w:rPr>
        <w:t xml:space="preserve"> de </w:t>
      </w:r>
      <w:r>
        <w:rPr>
          <w:rFonts w:ascii="Times New Roman" w:hAnsi="Times New Roman"/>
          <w:b/>
        </w:rPr>
        <w:t>bilharzies enchâssées</w:t>
      </w:r>
      <w:r>
        <w:rPr>
          <w:rFonts w:ascii="Times New Roman" w:hAnsi="Times New Roman"/>
          <w:b/>
        </w:rPr>
        <w:t xml:space="preserve"> dans la muqueuse rectale</w:t>
      </w:r>
      <w:r>
        <w:rPr>
          <w:rFonts w:ascii="Times New Roman" w:hAnsi="Times New Roman"/>
          <w:b/>
        </w:rPr>
        <w:br/>
      </w:r>
    </w:p>
    <w:p>
      <w:pPr>
        <w:numPr>
          <w:ilvl w:val="2"/>
          <w:numId w:val="31"/>
        </w:numPr>
      </w:pPr>
      <w:r>
        <w:rPr>
          <w:rFonts w:ascii="Times New Roman" w:hAnsi="Times New Roman"/>
          <w:b/>
        </w:rPr>
        <w:t>Ponction Biopsie Hépatique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 xml:space="preserve">Lésions spécifiques : Granulome centré par un </w:t>
      </w:r>
      <w:r>
        <w:rPr>
          <w:rFonts w:ascii="Times New Roman" w:hAnsi="Times New Roman"/>
        </w:rPr>
        <w:t>œuf</w:t>
      </w:r>
      <w:r>
        <w:rPr>
          <w:rFonts w:ascii="Times New Roman" w:hAnsi="Times New Roman"/>
        </w:rPr>
        <w:t xml:space="preserve"> de bilharzie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Lésions moins caractéristiques</w:t>
      </w:r>
    </w:p>
    <w:p>
      <w:pPr>
        <w:numPr>
          <w:ilvl w:val="4"/>
          <w:numId w:val="31"/>
        </w:numPr>
      </w:pPr>
      <w:r>
        <w:rPr>
          <w:rFonts w:ascii="Times New Roman" w:hAnsi="Times New Roman"/>
        </w:rPr>
        <w:t>Fibrose portale</w:t>
      </w:r>
    </w:p>
    <w:p>
      <w:pPr>
        <w:numPr>
          <w:ilvl w:val="4"/>
          <w:numId w:val="31"/>
        </w:numPr>
      </w:pPr>
      <w:r>
        <w:rPr>
          <w:rFonts w:ascii="Times New Roman" w:hAnsi="Times New Roman"/>
        </w:rPr>
        <w:t>Granulomatose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Granulomatose + HTP = Bilharziose hépatique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  <w:b/>
        </w:rPr>
        <w:t xml:space="preserve">Absence de nodules de </w:t>
      </w:r>
      <w:r>
        <w:rPr>
          <w:rFonts w:ascii="Times New Roman" w:hAnsi="Times New Roman"/>
          <w:b/>
        </w:rPr>
        <w:t>régénération</w:t>
      </w:r>
      <w:r>
        <w:rPr>
          <w:rFonts w:ascii="Times New Roman" w:hAnsi="Times New Roman"/>
          <w:b/>
        </w:rPr>
        <w:t xml:space="preserve"> (</w:t>
      </w:r>
      <w:r>
        <w:rPr>
          <w:rFonts w:ascii="Times New Roman" w:hAnsi="Times New Roman"/>
          <w:i/>
        </w:rPr>
        <w:t>mécanisme purement mécanique : obstruction de la veine porte par l’</w:t>
      </w:r>
      <w:r>
        <w:rPr>
          <w:rFonts w:ascii="Times New Roman" w:hAnsi="Times New Roman"/>
          <w:i/>
        </w:rPr>
        <w:t>œuf</w:t>
      </w:r>
      <w:r>
        <w:rPr>
          <w:rFonts w:ascii="Times New Roman" w:hAnsi="Times New Roman"/>
          <w:i/>
        </w:rPr>
        <w:br/>
      </w:r>
    </w:p>
    <w:p>
      <w:pPr>
        <w:pStyle w:val="Heading4"/>
        <w:numPr>
          <w:ilvl w:val="0"/>
          <w:numId w:val="78"/>
        </w:numPr>
      </w:pPr>
      <w:r>
        <w:rPr>
          <w:rFonts w:ascii="Times New Roman" w:hAnsi="Times New Roman"/>
        </w:rPr>
        <w:t>Evolution et complications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Evolution : plusieurs années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Plus tard : apparition des signes cliniques d’HTP :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 xml:space="preserve">Circulation veineuse cutanée abdominale 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 xml:space="preserve">Varices </w:t>
      </w:r>
      <w:r>
        <w:rPr>
          <w:rFonts w:ascii="Times New Roman" w:hAnsi="Times New Roman"/>
        </w:rPr>
        <w:t>œsophagiennes</w:t>
      </w:r>
      <w:r>
        <w:rPr>
          <w:rFonts w:ascii="Times New Roman" w:hAnsi="Times New Roman"/>
        </w:rPr>
        <w:t xml:space="preserve"> très </w:t>
      </w:r>
      <w:r>
        <w:rPr>
          <w:rFonts w:ascii="Times New Roman" w:hAnsi="Times New Roman"/>
        </w:rPr>
        <w:t>développées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Ascite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Œdème</w:t>
      </w:r>
      <w:r>
        <w:rPr>
          <w:rFonts w:ascii="Times New Roman" w:hAnsi="Times New Roman"/>
        </w:rPr>
        <w:t xml:space="preserve"> des membres inférieurs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br/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Complications : comparables à celles de la cirrhose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Ascite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  <w:b/>
        </w:rPr>
        <w:t xml:space="preserve">Hémorragie digestive par rupture des varices </w:t>
      </w:r>
      <w:r>
        <w:rPr>
          <w:rFonts w:ascii="Times New Roman" w:hAnsi="Times New Roman"/>
          <w:b/>
        </w:rPr>
        <w:t>œsophagiennes</w:t>
      </w:r>
      <w:r>
        <w:rPr>
          <w:rFonts w:ascii="Times New Roman" w:hAnsi="Times New Roman"/>
          <w:b/>
        </w:rPr>
        <w:t xml:space="preserve"> (décès à tout moment, </w:t>
      </w:r>
      <w:r>
        <w:rPr>
          <w:rFonts w:ascii="Times New Roman" w:hAnsi="Times New Roman"/>
          <w:b/>
          <w:i/>
        </w:rPr>
        <w:t xml:space="preserve">motif de décès classique). </w:t>
      </w:r>
      <w:r>
        <w:rPr>
          <w:rFonts w:ascii="Times New Roman" w:hAnsi="Times New Roman"/>
          <w:i/>
        </w:rPr>
        <w:t>Apparaît très tôt vers 30-40 ans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Ictère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Infections (générales - liquides d’ascite)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Encéphalopathie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Hypertension porto-pulmonaire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  <w:b/>
        </w:rPr>
        <w:t>Pas de cancer primitif du foie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  <w:b/>
        </w:rPr>
        <w:t>Hypersplénisme (</w:t>
      </w:r>
      <w:r>
        <w:rPr>
          <w:rFonts w:ascii="Times New Roman" w:hAnsi="Times New Roman"/>
        </w:rPr>
        <w:t>à cause de la splénomégalie)</w:t>
      </w:r>
    </w:p>
    <w:p>
      <w:pPr>
        <w:numPr>
          <w:ilvl w:val="4"/>
          <w:numId w:val="31"/>
        </w:numPr>
      </w:pPr>
      <w:r>
        <w:rPr>
          <w:rFonts w:ascii="Times New Roman" w:hAnsi="Times New Roman"/>
        </w:rPr>
        <w:t>Anémie</w:t>
      </w:r>
    </w:p>
    <w:p>
      <w:pPr>
        <w:numPr>
          <w:ilvl w:val="4"/>
          <w:numId w:val="31"/>
        </w:numPr>
      </w:pPr>
      <w:r>
        <w:rPr>
          <w:rFonts w:ascii="Times New Roman" w:hAnsi="Times New Roman"/>
        </w:rPr>
        <w:t>Leucopénie</w:t>
      </w:r>
    </w:p>
    <w:p>
      <w:pPr>
        <w:numPr>
          <w:ilvl w:val="4"/>
          <w:numId w:val="31"/>
        </w:numPr>
      </w:pPr>
      <w:r>
        <w:rPr>
          <w:rFonts w:ascii="Times New Roman" w:hAnsi="Times New Roman"/>
        </w:rPr>
        <w:t xml:space="preserve">Thrombopénie </w:t>
      </w:r>
      <w:r>
        <w:rPr>
          <w:rFonts w:ascii="Times New Roman" w:hAnsi="Times New Roman"/>
        </w:rPr>
        <w:br/>
      </w:r>
    </w:p>
    <w:p>
      <w:pPr>
        <w:pStyle w:val="Heading3"/>
        <w:numPr>
          <w:ilvl w:val="0"/>
          <w:numId w:val="77"/>
        </w:numPr>
      </w:pPr>
      <w:r>
        <w:rPr>
          <w:rFonts w:ascii="Times New Roman" w:hAnsi="Times New Roman"/>
        </w:rPr>
        <w:t>FORMES CLINIQUES</w:t>
      </w:r>
    </w:p>
    <w:p>
      <w:pPr>
        <w:pStyle w:val="Heading4"/>
      </w:pPr>
      <w:r>
        <w:rPr>
          <w:rFonts w:ascii="Times New Roman" w:hAnsi="Times New Roman"/>
        </w:rPr>
        <w:t>Formes particulières :</w:t>
      </w:r>
    </w:p>
    <w:p>
      <w:pPr>
        <w:numPr>
          <w:ilvl w:val="2"/>
          <w:numId w:val="31"/>
        </w:numPr>
      </w:pPr>
      <w:r>
        <w:rPr>
          <w:rFonts w:ascii="Times New Roman" w:hAnsi="Times New Roman"/>
          <w:b/>
        </w:rPr>
        <w:t>B.H. Associée à l’hépatite B/C ou une intoxication éthylique :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Installation rapide d’une IHC (</w:t>
      </w:r>
      <w:r>
        <w:rPr>
          <w:rFonts w:ascii="Times New Roman" w:hAnsi="Times New Roman"/>
          <w:i/>
        </w:rPr>
        <w:t>ascite,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OMI...)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Evolution rapide</w:t>
      </w:r>
    </w:p>
    <w:p>
      <w:pPr/>
    </w:p>
    <w:p>
      <w:pPr>
        <w:pStyle w:val="Heading2"/>
      </w:pPr>
      <w:r>
        <w:rPr>
          <w:rFonts w:ascii="Times New Roman" w:hAnsi="Times New Roman"/>
        </w:rPr>
        <w:t>TRAITEMENT</w:t>
      </w:r>
    </w:p>
    <w:p>
      <w:pPr>
        <w:pStyle w:val="Heading3"/>
        <w:numPr>
          <w:ilvl w:val="0"/>
          <w:numId w:val="80"/>
        </w:numPr>
      </w:pPr>
      <w:r>
        <w:rPr>
          <w:rFonts w:ascii="Times New Roman" w:hAnsi="Times New Roman"/>
        </w:rPr>
        <w:t>Buts :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>Eviter l’infestation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>Eliminer les vers femelles et les formes jeunes du parasite (</w:t>
      </w:r>
      <w:r>
        <w:rPr>
          <w:rFonts w:ascii="Times New Roman" w:hAnsi="Times New Roman"/>
          <w:i/>
        </w:rPr>
        <w:t>si on arrive tôt)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>Traiter l’hypertension portale</w:t>
      </w:r>
      <w:r>
        <w:rPr>
          <w:rFonts w:ascii="Times New Roman" w:hAnsi="Times New Roman"/>
        </w:rPr>
        <w:br/>
      </w:r>
    </w:p>
    <w:p>
      <w:pPr>
        <w:pStyle w:val="Heading3"/>
        <w:numPr>
          <w:ilvl w:val="0"/>
          <w:numId w:val="80"/>
        </w:numPr>
      </w:pPr>
      <w:r>
        <w:rPr>
          <w:rFonts w:ascii="Times New Roman" w:hAnsi="Times New Roman"/>
        </w:rPr>
        <w:t xml:space="preserve">Moyens : </w:t>
      </w:r>
      <w:r>
        <w:rPr>
          <w:rFonts w:ascii="Times New Roman" w:hAnsi="Times New Roman"/>
        </w:rPr>
        <w:t>préventifs et curatifs</w:t>
      </w:r>
    </w:p>
    <w:p>
      <w:pPr>
        <w:pStyle w:val="Heading4"/>
        <w:numPr>
          <w:ilvl w:val="0"/>
          <w:numId w:val="79"/>
        </w:numPr>
      </w:pPr>
      <w:r>
        <w:rPr>
          <w:rFonts w:ascii="Times New Roman" w:hAnsi="Times New Roman"/>
        </w:rPr>
        <w:t>Préventifs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>Hygiène du milieu (</w:t>
      </w:r>
      <w:r>
        <w:rPr>
          <w:rFonts w:ascii="Times New Roman" w:hAnsi="Times New Roman"/>
          <w:i/>
        </w:rPr>
        <w:t>utilisation de latrines, ne pas faire ses besoins dans la nature)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>Education sanitaire (</w:t>
      </w:r>
      <w:r>
        <w:rPr>
          <w:rFonts w:ascii="Times New Roman" w:hAnsi="Times New Roman"/>
          <w:i/>
        </w:rPr>
        <w:t xml:space="preserve">ne plus aller </w:t>
      </w:r>
      <w:r>
        <w:rPr>
          <w:rFonts w:ascii="Times New Roman" w:hAnsi="Times New Roman"/>
          <w:i/>
        </w:rPr>
        <w:t>pêcher ?</w:t>
      </w:r>
      <w:r>
        <w:rPr>
          <w:rFonts w:ascii="Times New Roman" w:hAnsi="Times New Roman"/>
          <w:i/>
        </w:rPr>
        <w:t xml:space="preserve"> Ne pas s’immerger dans l’eau douce, mettre des bottes)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>Assainissement (</w:t>
      </w:r>
      <w:r>
        <w:rPr>
          <w:rFonts w:ascii="Times New Roman" w:hAnsi="Times New Roman"/>
          <w:i/>
        </w:rPr>
        <w:t>nettoyer les lacs)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>Destruction des mollusques hôtes intermédiaires (</w:t>
      </w:r>
      <w:r>
        <w:rPr>
          <w:rFonts w:ascii="Times New Roman" w:hAnsi="Times New Roman"/>
          <w:i/>
        </w:rPr>
        <w:t>élevage de certains poissons, élevage de canards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 xml:space="preserve">Traitement de masse </w:t>
      </w:r>
      <w:r>
        <w:rPr>
          <w:rFonts w:ascii="Times New Roman" w:hAnsi="Times New Roman"/>
        </w:rPr>
        <w:br/>
      </w:r>
    </w:p>
    <w:p>
      <w:pPr>
        <w:pStyle w:val="Heading4"/>
        <w:numPr>
          <w:ilvl w:val="0"/>
          <w:numId w:val="79"/>
        </w:numPr>
      </w:pPr>
      <w:r>
        <w:rPr>
          <w:rFonts w:ascii="Times New Roman" w:hAnsi="Times New Roman"/>
        </w:rPr>
        <w:t>Curatifs :</w:t>
      </w:r>
    </w:p>
    <w:p>
      <w:pPr>
        <w:numPr>
          <w:ilvl w:val="2"/>
          <w:numId w:val="32"/>
        </w:numPr>
      </w:pPr>
      <w:r>
        <w:rPr>
          <w:rFonts w:ascii="Times New Roman" w:hAnsi="Times New Roman"/>
          <w:b/>
        </w:rPr>
        <w:t>Médicaux :</w:t>
      </w:r>
    </w:p>
    <w:p>
      <w:pPr>
        <w:numPr>
          <w:ilvl w:val="3"/>
          <w:numId w:val="32"/>
        </w:numPr>
      </w:pPr>
      <w:r>
        <w:rPr>
          <w:rFonts w:ascii="Times New Roman" w:hAnsi="Times New Roman"/>
        </w:rPr>
        <w:t xml:space="preserve">Praziquantel : </w:t>
      </w:r>
      <w:r>
        <w:rPr>
          <w:rFonts w:ascii="Times New Roman" w:hAnsi="Times New Roman"/>
        </w:rPr>
        <w:t>Biltricide</w:t>
      </w:r>
      <w:r>
        <w:rPr>
          <w:rFonts w:ascii="Times New Roman" w:hAnsi="Times New Roman"/>
        </w:rPr>
        <w:t>* : comprimé de 600 mg</w:t>
      </w:r>
    </w:p>
    <w:p>
      <w:pPr>
        <w:numPr>
          <w:ilvl w:val="4"/>
          <w:numId w:val="32"/>
        </w:numPr>
      </w:pPr>
      <w:r>
        <w:rPr>
          <w:rFonts w:ascii="Times New Roman" w:hAnsi="Times New Roman"/>
        </w:rPr>
        <w:t>Posologie : 40mg/kg : une à 2 prises en un seul jour (</w:t>
      </w:r>
      <w:r>
        <w:rPr>
          <w:rFonts w:ascii="Times New Roman" w:hAnsi="Times New Roman"/>
          <w:i/>
        </w:rPr>
        <w:t>maximum 3 jours)</w:t>
      </w:r>
    </w:p>
    <w:p>
      <w:pPr>
        <w:numPr>
          <w:ilvl w:val="3"/>
          <w:numId w:val="32"/>
        </w:numPr>
      </w:pPr>
      <w:r>
        <w:rPr>
          <w:rFonts w:ascii="Times New Roman" w:hAnsi="Times New Roman"/>
        </w:rPr>
        <w:t>Propranolol (bêta-bloquant) comprimé (40mg) ou gélule (160mg)</w:t>
      </w:r>
    </w:p>
    <w:p>
      <w:pPr>
        <w:numPr>
          <w:ilvl w:val="2"/>
          <w:numId w:val="32"/>
        </w:numPr>
      </w:pPr>
      <w:r>
        <w:rPr>
          <w:rFonts w:ascii="Times New Roman" w:hAnsi="Times New Roman"/>
          <w:b/>
        </w:rPr>
        <w:t xml:space="preserve">Endoscopiques : </w:t>
      </w:r>
      <w:r>
        <w:rPr>
          <w:rFonts w:ascii="Times New Roman" w:hAnsi="Times New Roman"/>
        </w:rPr>
        <w:t xml:space="preserve">ligature des varices </w:t>
      </w:r>
      <w:r>
        <w:rPr>
          <w:rFonts w:ascii="Times New Roman" w:hAnsi="Times New Roman"/>
        </w:rPr>
        <w:t>œsophagiennes</w:t>
      </w:r>
    </w:p>
    <w:p>
      <w:pPr>
        <w:numPr>
          <w:ilvl w:val="2"/>
          <w:numId w:val="32"/>
        </w:numPr>
      </w:pPr>
      <w:r>
        <w:rPr>
          <w:rFonts w:ascii="Times New Roman" w:hAnsi="Times New Roman"/>
          <w:b/>
        </w:rPr>
        <w:t xml:space="preserve">Chirurgicaux : </w:t>
      </w:r>
      <w:r>
        <w:rPr>
          <w:rFonts w:ascii="Times New Roman" w:hAnsi="Times New Roman"/>
        </w:rPr>
        <w:t xml:space="preserve">splénectomie avec ligature de la veine gastrique gauche </w:t>
      </w:r>
      <w:r>
        <w:rPr>
          <w:rFonts w:ascii="Times New Roman" w:hAnsi="Times New Roman"/>
          <w:i/>
        </w:rPr>
        <w:t xml:space="preserve">(pour diminuer la pression au niveau des varices </w:t>
      </w:r>
      <w:r>
        <w:rPr>
          <w:rFonts w:ascii="Times New Roman" w:hAnsi="Times New Roman"/>
          <w:i/>
        </w:rPr>
        <w:t>œsophagiennes</w:t>
      </w:r>
      <w:r>
        <w:rPr>
          <w:rFonts w:ascii="Times New Roman" w:hAnsi="Times New Roman"/>
          <w:i/>
        </w:rPr>
        <w:t>)</w:t>
      </w:r>
      <w:r>
        <w:rPr>
          <w:rFonts w:ascii="Times New Roman" w:hAnsi="Times New Roman"/>
          <w:i/>
        </w:rPr>
        <w:br/>
      </w:r>
    </w:p>
    <w:p>
      <w:pPr>
        <w:pStyle w:val="Heading3"/>
        <w:numPr>
          <w:ilvl w:val="0"/>
          <w:numId w:val="80"/>
        </w:numPr>
      </w:pPr>
      <w:r>
        <w:rPr>
          <w:rFonts w:ascii="Times New Roman" w:hAnsi="Times New Roman"/>
        </w:rPr>
        <w:t>Indications :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>Infestation non traitée : Praziquantel (</w:t>
      </w:r>
      <w:r>
        <w:rPr>
          <w:rFonts w:ascii="Times New Roman" w:hAnsi="Times New Roman"/>
          <w:i/>
        </w:rPr>
        <w:t>mbola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tsy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notsaboina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mihitsy</w:t>
      </w:r>
      <w:r>
        <w:rPr>
          <w:rFonts w:ascii="Times New Roman" w:hAnsi="Times New Roman"/>
          <w:i/>
        </w:rPr>
        <w:t>)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>Tableau d’hypertension portale :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>Propranolol (80-160 mg/j, traitement à vie)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 xml:space="preserve">Ligature des varices </w:t>
      </w:r>
      <w:r>
        <w:rPr>
          <w:rFonts w:ascii="Times New Roman" w:hAnsi="Times New Roman"/>
        </w:rPr>
        <w:t>œsophagiennes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>Si HTP non contrôlée par ces deux traitements : chirurgie (splénectomie, continuer le Bêta-bloquant)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>Hypersplénisme : chirurgie</w:t>
      </w:r>
    </w:p>
    <w:p>
      <w:pPr/>
    </w:p>
    <w:p>
      <w:pPr>
        <w:pStyle w:val="Heading2"/>
      </w:pPr>
      <w:r>
        <w:rPr>
          <w:rFonts w:ascii="Times New Roman" w:hAnsi="Times New Roman"/>
        </w:rPr>
        <w:t>CONCLUSION</w:t>
      </w:r>
    </w:p>
    <w:p>
      <w:pPr>
        <w:numPr>
          <w:ilvl w:val="0"/>
          <w:numId w:val="33"/>
        </w:numPr>
      </w:pPr>
      <w:r>
        <w:rPr>
          <w:rFonts w:ascii="Times New Roman" w:hAnsi="Times New Roman"/>
        </w:rPr>
        <w:t xml:space="preserve">Pathologie extrêmement fréquente à Madagascar </w:t>
      </w:r>
    </w:p>
    <w:p>
      <w:pPr>
        <w:numPr>
          <w:ilvl w:val="0"/>
          <w:numId w:val="33"/>
        </w:numPr>
      </w:pPr>
      <w:r>
        <w:rPr>
          <w:rFonts w:ascii="Times New Roman" w:hAnsi="Times New Roman"/>
        </w:rPr>
        <w:t xml:space="preserve">Diagnostic : 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>Contexte géographique (habitation, enfance)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>Splénomégalie ++ : “</w:t>
      </w:r>
      <w:r>
        <w:rPr>
          <w:rFonts w:ascii="Times New Roman" w:hAnsi="Times New Roman"/>
          <w:i/>
        </w:rPr>
        <w:t>il n’y a pas de B.H sans splénomégalie”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>Tableau d’HTP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 xml:space="preserve">Sérologie bilharzienne positive 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 xml:space="preserve">Biopsie de la muqueuse rectale : </w:t>
      </w:r>
      <w:r>
        <w:rPr>
          <w:rFonts w:ascii="Times New Roman" w:hAnsi="Times New Roman"/>
        </w:rPr>
        <w:t>oeufs</w:t>
      </w:r>
      <w:r>
        <w:rPr>
          <w:rFonts w:ascii="Times New Roman" w:hAnsi="Times New Roman"/>
        </w:rPr>
        <w:t xml:space="preserve"> de bilharzie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>Complications comparables à celles de la cirrhose, surtout :</w:t>
      </w:r>
    </w:p>
    <w:p>
      <w:pPr>
        <w:numPr>
          <w:ilvl w:val="2"/>
          <w:numId w:val="33"/>
        </w:numPr>
      </w:pPr>
      <w:r>
        <w:rPr>
          <w:rFonts w:ascii="Times New Roman" w:hAnsi="Times New Roman"/>
        </w:rPr>
        <w:t>Hémorragie digestive (</w:t>
      </w:r>
      <w:r>
        <w:rPr>
          <w:rFonts w:ascii="Times New Roman" w:hAnsi="Times New Roman"/>
          <w:i/>
        </w:rPr>
        <w:t>motif de décès fréquent)</w:t>
      </w:r>
    </w:p>
    <w:p>
      <w:pPr>
        <w:numPr>
          <w:ilvl w:val="2"/>
          <w:numId w:val="33"/>
        </w:numPr>
      </w:pPr>
      <w:r>
        <w:rPr>
          <w:rFonts w:ascii="Times New Roman" w:hAnsi="Times New Roman"/>
        </w:rPr>
        <w:t>Ascite</w:t>
      </w:r>
    </w:p>
    <w:p>
      <w:pPr>
        <w:numPr>
          <w:ilvl w:val="2"/>
          <w:numId w:val="33"/>
        </w:numPr>
      </w:pPr>
      <w:r>
        <w:rPr>
          <w:rFonts w:ascii="Times New Roman" w:hAnsi="Times New Roman"/>
        </w:rPr>
        <w:t>Hypertension porto-pulmonaire</w:t>
      </w:r>
    </w:p>
    <w:p>
      <w:pPr>
        <w:numPr>
          <w:ilvl w:val="2"/>
          <w:numId w:val="33"/>
        </w:numPr>
      </w:pPr>
      <w:r>
        <w:rPr>
          <w:rFonts w:ascii="Times New Roman" w:hAnsi="Times New Roman"/>
          <w:b/>
        </w:rPr>
        <w:t>Pas de cancer primitif du foie car pas de nodule de régénération</w:t>
      </w:r>
    </w:p>
    <w:p>
      <w:pPr/>
      <w:r>
        <w:rPr>
          <w:rFonts w:ascii="Times New Roman" w:hAnsi="Times New Roman"/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