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HEPATITES VIRALES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34"/>
        </w:numPr>
      </w:pPr>
      <w:r>
        <w:rPr>
          <w:rFonts w:ascii="Times New Roman" w:hAnsi="Times New Roman"/>
        </w:rPr>
        <w:t>Diagnostiquer une hépatite virale</w:t>
      </w:r>
    </w:p>
    <w:p>
      <w:pPr>
        <w:numPr>
          <w:ilvl w:val="0"/>
          <w:numId w:val="34"/>
        </w:numPr>
      </w:pPr>
      <w:r>
        <w:rPr>
          <w:rFonts w:ascii="Times New Roman" w:hAnsi="Times New Roman"/>
        </w:rPr>
        <w:t>Décrire l’évolution</w:t>
      </w:r>
    </w:p>
    <w:p>
      <w:pPr/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pStyle w:val="Heading3"/>
      </w:pPr>
      <w:r>
        <w:rPr>
          <w:rFonts w:ascii="Times New Roman" w:hAnsi="Times New Roman"/>
        </w:rPr>
        <w:t>Définition :</w:t>
      </w:r>
    </w:p>
    <w:p>
      <w:pPr>
        <w:numPr>
          <w:ilvl w:val="1"/>
          <w:numId w:val="35"/>
        </w:numPr>
      </w:pPr>
      <w:r>
        <w:rPr>
          <w:rFonts w:ascii="Times New Roman" w:hAnsi="Times New Roman"/>
        </w:rPr>
        <w:t>Maladies infectieuses virales avec une atteinte hépatique prédominante</w:t>
      </w:r>
    </w:p>
    <w:p>
      <w:pPr>
        <w:numPr>
          <w:ilvl w:val="1"/>
          <w:numId w:val="35"/>
        </w:numPr>
      </w:pPr>
      <w:r>
        <w:rPr>
          <w:rFonts w:ascii="Times New Roman" w:hAnsi="Times New Roman"/>
        </w:rPr>
        <w:t>Virus A (VHA) : Hépatite virale A (HVA)</w:t>
      </w:r>
    </w:p>
    <w:p>
      <w:pPr>
        <w:numPr>
          <w:ilvl w:val="1"/>
          <w:numId w:val="35"/>
        </w:numPr>
      </w:pPr>
      <w:r>
        <w:rPr>
          <w:rFonts w:ascii="Times New Roman" w:hAnsi="Times New Roman"/>
        </w:rPr>
        <w:t>Virus B (VHB) : Hépatite virale B (HVB)</w:t>
      </w:r>
    </w:p>
    <w:p>
      <w:pPr>
        <w:numPr>
          <w:ilvl w:val="1"/>
          <w:numId w:val="35"/>
        </w:numPr>
      </w:pPr>
      <w:r>
        <w:rPr>
          <w:rFonts w:ascii="Times New Roman" w:hAnsi="Times New Roman"/>
        </w:rPr>
        <w:t>Virus C (VHC) : Hépatite virale C (HVC)</w:t>
      </w:r>
    </w:p>
    <w:p>
      <w:pPr>
        <w:numPr>
          <w:ilvl w:val="1"/>
          <w:numId w:val="35"/>
        </w:numPr>
      </w:pPr>
      <w:r>
        <w:rPr>
          <w:rFonts w:ascii="Times New Roman" w:hAnsi="Times New Roman"/>
        </w:rPr>
        <w:t>Virus D (VHD) : Hépatite virale D (HVD)</w:t>
      </w:r>
    </w:p>
    <w:p>
      <w:pPr>
        <w:numPr>
          <w:ilvl w:val="1"/>
          <w:numId w:val="35"/>
        </w:numPr>
      </w:pPr>
      <w:r>
        <w:rPr>
          <w:rFonts w:ascii="Times New Roman" w:hAnsi="Times New Roman"/>
        </w:rPr>
        <w:t>Virus E (VHE) : Hépatite virale E (HVE)</w:t>
      </w:r>
    </w:p>
    <w:p>
      <w:pPr>
        <w:pStyle w:val="Heading3"/>
      </w:pPr>
      <w:r>
        <w:rPr>
          <w:rFonts w:ascii="Times New Roman" w:hAnsi="Times New Roman"/>
        </w:rPr>
        <w:t>Intérêts :</w:t>
      </w:r>
    </w:p>
    <w:p>
      <w:pPr>
        <w:numPr>
          <w:ilvl w:val="1"/>
          <w:numId w:val="35"/>
        </w:numPr>
      </w:pPr>
      <w:r>
        <w:rPr>
          <w:rFonts w:ascii="Times New Roman" w:hAnsi="Times New Roman"/>
        </w:rPr>
        <w:t>Très fréquentes : La moitié des habitants des pays en voie de développement a déjà eu un contact avec le VHA à l’âge adulte</w:t>
      </w:r>
    </w:p>
    <w:p>
      <w:pPr>
        <w:numPr>
          <w:ilvl w:val="1"/>
          <w:numId w:val="35"/>
        </w:numPr>
      </w:pPr>
      <w:r>
        <w:rPr>
          <w:rFonts w:ascii="Times New Roman" w:hAnsi="Times New Roman"/>
        </w:rPr>
        <w:t>Evolution :</w:t>
      </w:r>
    </w:p>
    <w:p>
      <w:pPr>
        <w:numPr>
          <w:ilvl w:val="2"/>
          <w:numId w:val="35"/>
        </w:numPr>
      </w:pPr>
      <w:r>
        <w:rPr>
          <w:rFonts w:ascii="Times New Roman" w:hAnsi="Times New Roman"/>
        </w:rPr>
        <w:t>Bénigne</w:t>
      </w:r>
    </w:p>
    <w:p>
      <w:pPr>
        <w:numPr>
          <w:ilvl w:val="2"/>
          <w:numId w:val="35"/>
        </w:numPr>
      </w:pPr>
      <w:r>
        <w:rPr>
          <w:rFonts w:ascii="Times New Roman" w:hAnsi="Times New Roman"/>
        </w:rPr>
        <w:t>Atrophie massive du foie (</w:t>
      </w:r>
      <w:r>
        <w:rPr>
          <w:rFonts w:ascii="Times New Roman" w:hAnsi="Times New Roman"/>
          <w:i/>
        </w:rPr>
        <w:t>grave+++)</w:t>
      </w:r>
    </w:p>
    <w:p>
      <w:pPr>
        <w:numPr>
          <w:ilvl w:val="2"/>
          <w:numId w:val="35"/>
        </w:numPr>
      </w:pPr>
      <w:r>
        <w:rPr>
          <w:rFonts w:ascii="Times New Roman" w:hAnsi="Times New Roman"/>
        </w:rPr>
        <w:t>Chronicité : HVB, HVC, HVD</w:t>
      </w:r>
    </w:p>
    <w:p>
      <w:pPr/>
    </w:p>
    <w:p>
      <w:pPr>
        <w:pStyle w:val="Heading2"/>
      </w:pPr>
      <w:r>
        <w:rPr>
          <w:rFonts w:ascii="Times New Roman" w:hAnsi="Times New Roman"/>
        </w:rPr>
        <w:t>VIROLOGIE - EPIDEMIOLOGIE</w:t>
      </w:r>
    </w:p>
    <w:p>
      <w:pPr>
        <w:pStyle w:val="Heading3"/>
        <w:numPr>
          <w:ilvl w:val="0"/>
          <w:numId w:val="81"/>
        </w:numPr>
      </w:pPr>
      <w:r>
        <w:rPr>
          <w:rFonts w:ascii="Times New Roman" w:hAnsi="Times New Roman"/>
        </w:rPr>
        <w:t>HEPATITE A :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Virus à ARN sans enveloppe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Réservoir : être humain, se trouve dans les selles des patients infectés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Transmission : orale (péril fécal)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Directe : mains souillées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 xml:space="preserve">Indirecte : ingestion d’aliments ou </w:t>
      </w:r>
      <w:r>
        <w:rPr>
          <w:rFonts w:ascii="Times New Roman" w:hAnsi="Times New Roman"/>
          <w:u w:val="single"/>
        </w:rPr>
        <w:t>d’eau souillée</w:t>
      </w:r>
      <w:r>
        <w:rPr>
          <w:rFonts w:ascii="Times New Roman" w:hAnsi="Times New Roman"/>
        </w:rPr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mode de transmission la plus fréquente)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Touche les enfants, adultes jeunes (Madagascar : 10 - 20 ans)</w:t>
      </w:r>
    </w:p>
    <w:p>
      <w:pPr>
        <w:numPr>
          <w:ilvl w:val="1"/>
          <w:numId w:val="36"/>
        </w:numPr>
      </w:pPr>
      <w:r>
        <w:rPr>
          <w:rFonts w:ascii="Times New Roman" w:hAnsi="Times New Roman"/>
          <w:b/>
        </w:rPr>
        <w:t xml:space="preserve">Diagnostic : </w:t>
      </w:r>
      <w:r>
        <w:rPr>
          <w:rFonts w:ascii="Times New Roman" w:hAnsi="Times New Roman"/>
        </w:rPr>
        <w:t>présence d’anticorps anti-VHA</w:t>
      </w:r>
      <w:r>
        <w:rPr>
          <w:rFonts w:ascii="Times New Roman" w:hAnsi="Times New Roman"/>
        </w:rPr>
        <w:br/>
      </w:r>
    </w:p>
    <w:p>
      <w:pPr>
        <w:pStyle w:val="Heading3"/>
        <w:numPr>
          <w:ilvl w:val="0"/>
          <w:numId w:val="81"/>
        </w:numPr>
      </w:pPr>
      <w:r>
        <w:rPr>
          <w:rFonts w:ascii="Times New Roman" w:hAnsi="Times New Roman"/>
        </w:rPr>
        <w:t>HEPATITE B :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 xml:space="preserve">Famille : </w:t>
      </w:r>
      <w:r>
        <w:rPr>
          <w:rFonts w:ascii="Times New Roman" w:hAnsi="Times New Roman"/>
        </w:rPr>
        <w:t>Hepadnaviridae</w:t>
      </w:r>
      <w:r>
        <w:rPr>
          <w:rFonts w:ascii="Times New Roman" w:hAnsi="Times New Roman"/>
        </w:rPr>
        <w:t xml:space="preserve"> : virus à ADN (</w:t>
      </w:r>
      <w:r>
        <w:rPr>
          <w:rFonts w:ascii="Times New Roman" w:hAnsi="Times New Roman"/>
          <w:i/>
        </w:rPr>
        <w:t>seul virus des hépatites à ADN)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2 types :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Virus sauvage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Virus mutant : pré-C (</w:t>
      </w:r>
      <w:r>
        <w:rPr>
          <w:rFonts w:ascii="Times New Roman" w:hAnsi="Times New Roman"/>
          <w:i/>
        </w:rPr>
        <w:t>pré-</w:t>
      </w:r>
      <w:r>
        <w:rPr>
          <w:rFonts w:ascii="Times New Roman" w:hAnsi="Times New Roman"/>
          <w:i/>
        </w:rPr>
        <w:t>Core</w:t>
      </w:r>
      <w:r>
        <w:rPr>
          <w:rFonts w:ascii="Times New Roman" w:hAnsi="Times New Roman"/>
          <w:i/>
        </w:rPr>
        <w:t>)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 xml:space="preserve">Dans sa </w:t>
      </w:r>
      <w:r>
        <w:rPr>
          <w:rFonts w:ascii="Times New Roman" w:hAnsi="Times New Roman"/>
        </w:rPr>
        <w:t>fome</w:t>
      </w:r>
      <w:r>
        <w:rPr>
          <w:rFonts w:ascii="Times New Roman" w:hAnsi="Times New Roman"/>
        </w:rPr>
        <w:t xml:space="preserve"> complète, le VHB se présente sous forme de particule : Particule de DANE</w:t>
      </w:r>
    </w:p>
    <w:p>
      <w:pPr>
        <w:numPr>
          <w:ilvl w:val="2"/>
          <w:numId w:val="36"/>
        </w:numPr>
      </w:pPr>
      <w:r>
        <w:drawing>
          <wp:inline xmlns:a="http://schemas.openxmlformats.org/drawingml/2006/main" xmlns:pic="http://schemas.openxmlformats.org/drawingml/2006/picture">
            <wp:extent cx="22606000" cy="1691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0" cy="1691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 xml:space="preserve">Enveloppe : porte l’Ag </w:t>
      </w:r>
      <w:r>
        <w:rPr>
          <w:rFonts w:ascii="Times New Roman" w:hAnsi="Times New Roman"/>
        </w:rPr>
        <w:t>HBs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 xml:space="preserve">Nucléocapside centrale : </w:t>
      </w:r>
      <w:r>
        <w:rPr>
          <w:rFonts w:ascii="Times New Roman" w:hAnsi="Times New Roman"/>
        </w:rPr>
        <w:t>core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Porte 2 AG : Ag </w:t>
      </w:r>
      <w:r>
        <w:rPr>
          <w:rFonts w:ascii="Times New Roman" w:hAnsi="Times New Roman"/>
        </w:rPr>
        <w:t>HBc</w:t>
      </w:r>
      <w:r>
        <w:rPr>
          <w:rFonts w:ascii="Times New Roman" w:hAnsi="Times New Roman"/>
        </w:rPr>
        <w:t xml:space="preserve"> et Ag </w:t>
      </w:r>
      <w:r>
        <w:rPr>
          <w:rFonts w:ascii="Times New Roman" w:hAnsi="Times New Roman"/>
        </w:rPr>
        <w:t>HBe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Renferme 2 éléments :</w:t>
      </w:r>
    </w:p>
    <w:p>
      <w:pPr>
        <w:numPr>
          <w:ilvl w:val="4"/>
          <w:numId w:val="36"/>
        </w:numPr>
      </w:pPr>
      <w:r>
        <w:rPr>
          <w:rFonts w:ascii="Times New Roman" w:hAnsi="Times New Roman"/>
        </w:rPr>
        <w:t>ADN du virus</w:t>
      </w:r>
    </w:p>
    <w:p>
      <w:pPr>
        <w:numPr>
          <w:ilvl w:val="4"/>
          <w:numId w:val="36"/>
        </w:numPr>
      </w:pPr>
      <w:r>
        <w:rPr>
          <w:rFonts w:ascii="Times New Roman" w:hAnsi="Times New Roman"/>
        </w:rPr>
        <w:t>ADN polymérase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 xml:space="preserve">Sang d’un sujet infecté : 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Particule de DANE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 xml:space="preserve">Microsphères et microfilaments portant les Ag 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 et Ag </w:t>
      </w:r>
      <w:r>
        <w:rPr>
          <w:rFonts w:ascii="Times New Roman" w:hAnsi="Times New Roman"/>
        </w:rPr>
        <w:t>HBe</w:t>
      </w:r>
      <w:r>
        <w:rPr>
          <w:rFonts w:ascii="Times New Roman" w:hAnsi="Times New Roman"/>
        </w:rPr>
        <w:br/>
      </w:r>
    </w:p>
    <w:p>
      <w:pPr>
        <w:pStyle w:val="Heading4"/>
      </w:pPr>
      <w:r>
        <w:rPr>
          <w:rFonts w:ascii="Times New Roman" w:hAnsi="Times New Roman"/>
        </w:rPr>
        <w:t>Antigènes :</w:t>
      </w:r>
    </w:p>
    <w:p>
      <w:pPr>
        <w:numPr>
          <w:ilvl w:val="2"/>
          <w:numId w:val="36"/>
        </w:numPr>
      </w:pPr>
      <w:r>
        <w:rPr>
          <w:rFonts w:ascii="Times New Roman" w:hAnsi="Times New Roman"/>
          <w:b/>
        </w:rPr>
        <w:t xml:space="preserve">Ag </w:t>
      </w:r>
      <w:r>
        <w:rPr>
          <w:rFonts w:ascii="Times New Roman" w:hAnsi="Times New Roman"/>
          <w:b/>
        </w:rPr>
        <w:t>HBs</w:t>
      </w:r>
      <w:r>
        <w:rPr>
          <w:rFonts w:ascii="Times New Roman" w:hAnsi="Times New Roman"/>
          <w:b/>
        </w:rPr>
        <w:t xml:space="preserve"> :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Apparaît 2-6 semaines dans le sang de la personne infecté, avant le début clinique de la maladie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Disparaît après 4-10 semaines</w:t>
      </w:r>
    </w:p>
    <w:p>
      <w:pPr>
        <w:numPr>
          <w:ilvl w:val="3"/>
          <w:numId w:val="36"/>
        </w:numPr>
      </w:pPr>
      <w:r>
        <w:rPr>
          <w:rFonts w:ascii="Times New Roman" w:hAnsi="Times New Roman"/>
          <w:b/>
        </w:rPr>
        <w:t>Marqueur d’une infection non guérie, en cours</w:t>
      </w:r>
      <w:r>
        <w:rPr>
          <w:rFonts w:ascii="Times New Roman" w:hAnsi="Times New Roman"/>
          <w:b/>
        </w:rPr>
        <w:br/>
      </w:r>
    </w:p>
    <w:p>
      <w:pPr>
        <w:numPr>
          <w:ilvl w:val="3"/>
          <w:numId w:val="36"/>
        </w:numPr>
      </w:pPr>
      <w:r>
        <w:rPr>
          <w:rFonts w:ascii="Times New Roman" w:hAnsi="Times New Roman"/>
          <w:b/>
        </w:rPr>
        <w:t>Disparition = guérison</w:t>
      </w:r>
    </w:p>
    <w:p>
      <w:pPr>
        <w:numPr>
          <w:ilvl w:val="3"/>
          <w:numId w:val="36"/>
        </w:numPr>
      </w:pPr>
      <w:r>
        <w:rPr>
          <w:rFonts w:ascii="Times New Roman" w:hAnsi="Times New Roman"/>
          <w:b/>
        </w:rPr>
        <w:t xml:space="preserve">Persistance </w:t>
      </w:r>
      <w:r>
        <w:rPr>
          <w:rFonts w:ascii="Times New Roman" w:hAnsi="Times New Roman"/>
          <w:b/>
        </w:rPr>
        <w:t>d’HBs</w:t>
      </w:r>
      <w:r>
        <w:rPr>
          <w:rFonts w:ascii="Times New Roman" w:hAnsi="Times New Roman"/>
          <w:b/>
        </w:rPr>
        <w:t xml:space="preserve"> dans le sang &gt; 6 mois = portage chronique</w:t>
      </w:r>
    </w:p>
    <w:p>
      <w:pPr>
        <w:numPr>
          <w:ilvl w:val="2"/>
          <w:numId w:val="36"/>
        </w:numPr>
      </w:pPr>
      <w:r>
        <w:rPr>
          <w:rFonts w:ascii="Times New Roman" w:hAnsi="Times New Roman"/>
          <w:b/>
        </w:rPr>
        <w:t xml:space="preserve">Ag </w:t>
      </w:r>
      <w:r>
        <w:rPr>
          <w:rFonts w:ascii="Times New Roman" w:hAnsi="Times New Roman"/>
          <w:b/>
        </w:rPr>
        <w:t>HBe</w:t>
      </w:r>
      <w:r>
        <w:rPr>
          <w:rFonts w:ascii="Times New Roman" w:hAnsi="Times New Roman"/>
          <w:b/>
        </w:rPr>
        <w:t xml:space="preserve"> 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Apparaît en même temps que l’Ag 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, disparaît avant Ag </w:t>
      </w:r>
      <w:r>
        <w:rPr>
          <w:rFonts w:ascii="Times New Roman" w:hAnsi="Times New Roman"/>
        </w:rPr>
        <w:t>HBs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Le virus mutant ne produit pas d’Ag </w:t>
      </w:r>
      <w:r>
        <w:rPr>
          <w:rFonts w:ascii="Times New Roman" w:hAnsi="Times New Roman"/>
        </w:rPr>
        <w:t>HBe</w:t>
      </w:r>
      <w:r>
        <w:rPr>
          <w:rFonts w:ascii="Times New Roman" w:hAnsi="Times New Roman"/>
        </w:rPr>
        <w:t xml:space="preserve"> +++</w:t>
      </w:r>
      <w:r>
        <w:rPr>
          <w:rFonts w:ascii="Times New Roman" w:hAnsi="Times New Roman"/>
        </w:rPr>
        <w:br/>
      </w:r>
    </w:p>
    <w:p>
      <w:pPr>
        <w:numPr>
          <w:ilvl w:val="3"/>
          <w:numId w:val="36"/>
        </w:numPr>
      </w:pPr>
      <w:r>
        <w:rPr>
          <w:rFonts w:ascii="Times New Roman" w:hAnsi="Times New Roman"/>
          <w:b/>
        </w:rPr>
        <w:t>Marqueur de réplication</w:t>
      </w:r>
    </w:p>
    <w:p>
      <w:pPr>
        <w:numPr>
          <w:ilvl w:val="3"/>
          <w:numId w:val="36"/>
        </w:numPr>
      </w:pPr>
      <w:r>
        <w:rPr>
          <w:rFonts w:ascii="Times New Roman" w:hAnsi="Times New Roman"/>
          <w:b/>
        </w:rPr>
        <w:t>Signe d’infectiosité</w:t>
      </w:r>
      <w:r>
        <w:rPr>
          <w:rFonts w:ascii="Times New Roman" w:hAnsi="Times New Roman"/>
          <w:b/>
        </w:rPr>
        <w:br/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Présent dans le sang :</w:t>
      </w:r>
    </w:p>
    <w:p>
      <w:pPr>
        <w:numPr>
          <w:ilvl w:val="4"/>
          <w:numId w:val="36"/>
        </w:numPr>
      </w:pPr>
      <w:r>
        <w:rPr>
          <w:rFonts w:ascii="Times New Roman" w:hAnsi="Times New Roman"/>
        </w:rPr>
        <w:t>Au cours d’une hépatite aiguë</w:t>
      </w:r>
    </w:p>
    <w:p>
      <w:pPr>
        <w:numPr>
          <w:ilvl w:val="4"/>
          <w:numId w:val="36"/>
        </w:numPr>
      </w:pPr>
      <w:r>
        <w:rPr>
          <w:rFonts w:ascii="Times New Roman" w:hAnsi="Times New Roman"/>
        </w:rPr>
        <w:t>Au cours d’une hépatite chronique en phase de réplication virale</w:t>
      </w:r>
    </w:p>
    <w:p>
      <w:pPr>
        <w:numPr>
          <w:ilvl w:val="3"/>
          <w:numId w:val="36"/>
        </w:numPr>
      </w:pPr>
      <w:r>
        <w:rPr>
          <w:rFonts w:ascii="Times New Roman" w:hAnsi="Times New Roman"/>
          <w:b/>
        </w:rPr>
        <w:t xml:space="preserve">Valeur pronostique : </w:t>
      </w:r>
      <w:r>
        <w:rPr>
          <w:rFonts w:ascii="Times New Roman" w:hAnsi="Times New Roman"/>
        </w:rPr>
        <w:t xml:space="preserve">La persistance de l’Ag </w:t>
      </w:r>
      <w:r>
        <w:rPr>
          <w:rFonts w:ascii="Times New Roman" w:hAnsi="Times New Roman"/>
        </w:rPr>
        <w:t>HBe</w:t>
      </w:r>
      <w:r>
        <w:rPr>
          <w:rFonts w:ascii="Times New Roman" w:hAnsi="Times New Roman"/>
        </w:rPr>
        <w:t xml:space="preserve"> signifie </w:t>
      </w:r>
      <w:r>
        <w:rPr>
          <w:rFonts w:ascii="Times New Roman" w:hAnsi="Times New Roman"/>
        </w:rPr>
        <w:t>une évolutivité</w:t>
      </w:r>
      <w:r>
        <w:rPr>
          <w:rFonts w:ascii="Times New Roman" w:hAnsi="Times New Roman"/>
        </w:rPr>
        <w:t xml:space="preserve"> de la maladie </w:t>
      </w:r>
    </w:p>
    <w:p>
      <w:pPr>
        <w:numPr>
          <w:ilvl w:val="2"/>
          <w:numId w:val="36"/>
        </w:numPr>
      </w:pPr>
      <w:r>
        <w:rPr>
          <w:rFonts w:ascii="Times New Roman" w:hAnsi="Times New Roman"/>
          <w:b/>
        </w:rPr>
        <w:t xml:space="preserve">Ag </w:t>
      </w:r>
      <w:r>
        <w:rPr>
          <w:rFonts w:ascii="Times New Roman" w:hAnsi="Times New Roman"/>
          <w:b/>
        </w:rPr>
        <w:t>HBc</w:t>
      </w:r>
      <w:r>
        <w:rPr>
          <w:rFonts w:ascii="Times New Roman" w:hAnsi="Times New Roman"/>
          <w:b/>
        </w:rPr>
        <w:t xml:space="preserve"> : 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Présent dans les hépatocytes 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Absent dans le sang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Non recherché dans la pratique quotidienne</w:t>
      </w:r>
      <w:r>
        <w:rPr>
          <w:rFonts w:ascii="Times New Roman" w:hAnsi="Times New Roman"/>
        </w:rPr>
        <w:br/>
      </w:r>
    </w:p>
    <w:p>
      <w:pPr>
        <w:numPr>
          <w:ilvl w:val="2"/>
          <w:numId w:val="36"/>
        </w:numPr>
      </w:pPr>
      <w:r>
        <w:rPr>
          <w:rFonts w:ascii="Times New Roman" w:hAnsi="Times New Roman"/>
          <w:b/>
        </w:rPr>
        <w:t>ADN de VHB sérique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Sa présence dans le sang signifie </w:t>
      </w:r>
      <w:r>
        <w:rPr>
          <w:rFonts w:ascii="Times New Roman" w:hAnsi="Times New Roman"/>
          <w:b/>
        </w:rPr>
        <w:t>la réplication virale</w:t>
      </w:r>
      <w:r>
        <w:rPr>
          <w:rFonts w:ascii="Times New Roman" w:hAnsi="Times New Roman"/>
        </w:rPr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Présence corrélée avec Ag </w:t>
      </w:r>
      <w:r>
        <w:rPr>
          <w:rFonts w:ascii="Times New Roman" w:hAnsi="Times New Roman"/>
        </w:rPr>
        <w:t>HBe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</w:p>
    <w:p>
      <w:pPr>
        <w:pStyle w:val="Heading4"/>
      </w:pPr>
      <w:r>
        <w:rPr>
          <w:rFonts w:ascii="Times New Roman" w:hAnsi="Times New Roman"/>
        </w:rPr>
        <w:t>Anticorps :</w:t>
      </w:r>
    </w:p>
    <w:p>
      <w:pPr>
        <w:numPr>
          <w:ilvl w:val="2"/>
          <w:numId w:val="36"/>
        </w:numPr>
      </w:pPr>
      <w:r>
        <w:rPr>
          <w:rFonts w:ascii="Times New Roman" w:hAnsi="Times New Roman"/>
          <w:b/>
        </w:rPr>
        <w:t>Ac</w:t>
      </w:r>
      <w:r>
        <w:rPr>
          <w:rFonts w:ascii="Times New Roman" w:hAnsi="Times New Roman"/>
          <w:b/>
        </w:rPr>
        <w:t xml:space="preserve"> anti-</w:t>
      </w:r>
      <w:r>
        <w:rPr>
          <w:rFonts w:ascii="Times New Roman" w:hAnsi="Times New Roman"/>
          <w:b/>
        </w:rPr>
        <w:t>HBs</w:t>
      </w:r>
      <w:r>
        <w:rPr>
          <w:rFonts w:ascii="Times New Roman" w:hAnsi="Times New Roman"/>
          <w:b/>
        </w:rPr>
        <w:t xml:space="preserve"> :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Appraîssent</w:t>
      </w:r>
      <w:r>
        <w:rPr>
          <w:rFonts w:ascii="Times New Roman" w:hAnsi="Times New Roman"/>
        </w:rPr>
        <w:t xml:space="preserve"> 1 à 4 mois après la disparition de l’Ag </w:t>
      </w:r>
      <w:r>
        <w:rPr>
          <w:rFonts w:ascii="Times New Roman" w:hAnsi="Times New Roman"/>
        </w:rPr>
        <w:t>HBs</w:t>
      </w:r>
    </w:p>
    <w:p>
      <w:pPr>
        <w:numPr>
          <w:ilvl w:val="3"/>
          <w:numId w:val="36"/>
        </w:numPr>
      </w:pPr>
      <w:r>
        <w:rPr>
          <w:rFonts w:ascii="Times New Roman" w:hAnsi="Times New Roman"/>
          <w:b/>
        </w:rPr>
        <w:t>Marqueur d’une infection guérie ou d’une vaccination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La présence des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 traduit une immunité protectrice</w:t>
      </w:r>
    </w:p>
    <w:p>
      <w:pPr>
        <w:numPr>
          <w:ilvl w:val="3"/>
          <w:numId w:val="36"/>
        </w:numPr>
      </w:pPr>
      <w:r>
        <w:rPr>
          <w:rFonts w:ascii="Times New Roman" w:hAnsi="Times New Roman"/>
          <w:b/>
        </w:rPr>
        <w:t xml:space="preserve">Affirme la guérison (séroconversion </w:t>
      </w:r>
      <w:r>
        <w:rPr>
          <w:rFonts w:ascii="Times New Roman" w:hAnsi="Times New Roman"/>
          <w:b/>
        </w:rPr>
        <w:t>HBs</w:t>
      </w: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 xml:space="preserve"> )</w:t>
      </w:r>
    </w:p>
    <w:p>
      <w:pPr>
        <w:numPr>
          <w:ilvl w:val="2"/>
          <w:numId w:val="36"/>
        </w:numPr>
      </w:pPr>
      <w:r>
        <w:rPr>
          <w:rFonts w:ascii="Times New Roman" w:hAnsi="Times New Roman"/>
          <w:b/>
        </w:rPr>
        <w:t>Ac</w:t>
      </w:r>
      <w:r>
        <w:rPr>
          <w:rFonts w:ascii="Times New Roman" w:hAnsi="Times New Roman"/>
          <w:b/>
        </w:rPr>
        <w:t xml:space="preserve"> anti-</w:t>
      </w:r>
      <w:r>
        <w:rPr>
          <w:rFonts w:ascii="Times New Roman" w:hAnsi="Times New Roman"/>
          <w:b/>
        </w:rPr>
        <w:t>HBe</w:t>
      </w:r>
      <w:r>
        <w:rPr>
          <w:rFonts w:ascii="Times New Roman" w:hAnsi="Times New Roman"/>
          <w:b/>
        </w:rPr>
        <w:t xml:space="preserve"> : 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Appraît</w:t>
      </w:r>
      <w:r>
        <w:rPr>
          <w:rFonts w:ascii="Times New Roman" w:hAnsi="Times New Roman"/>
        </w:rPr>
        <w:t xml:space="preserve"> dès la disparition de l’Ag </w:t>
      </w:r>
      <w:r>
        <w:rPr>
          <w:rFonts w:ascii="Times New Roman" w:hAnsi="Times New Roman"/>
        </w:rPr>
        <w:t>Hbe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Séroconversion immédiate, sans “trou sérologique”</w:t>
      </w:r>
    </w:p>
    <w:p>
      <w:pPr>
        <w:numPr>
          <w:ilvl w:val="3"/>
          <w:numId w:val="36"/>
        </w:numPr>
      </w:pPr>
      <w:r>
        <w:rPr>
          <w:rFonts w:ascii="Times New Roman" w:hAnsi="Times New Roman"/>
          <w:b/>
        </w:rPr>
        <w:t>Signification : promesse de guérison</w:t>
      </w:r>
      <w:r>
        <w:rPr>
          <w:rFonts w:ascii="Times New Roman" w:hAnsi="Times New Roman"/>
          <w:b/>
        </w:rPr>
        <w:br/>
      </w:r>
    </w:p>
    <w:p>
      <w:pPr>
        <w:numPr>
          <w:ilvl w:val="3"/>
          <w:numId w:val="36"/>
        </w:numPr>
      </w:pPr>
      <w:r>
        <w:rPr>
          <w:rFonts w:ascii="Times New Roman" w:hAnsi="Times New Roman"/>
          <w:b/>
        </w:rPr>
        <w:t xml:space="preserve">Exception : virus mutant : </w:t>
      </w:r>
      <w:r>
        <w:rPr>
          <w:rFonts w:ascii="Times New Roman" w:hAnsi="Times New Roman"/>
        </w:rPr>
        <w:t>Présence d’Ac anti-</w:t>
      </w:r>
      <w:r>
        <w:rPr>
          <w:rFonts w:ascii="Times New Roman" w:hAnsi="Times New Roman"/>
        </w:rPr>
        <w:t>HBe</w:t>
      </w:r>
      <w:r>
        <w:rPr>
          <w:rFonts w:ascii="Times New Roman" w:hAnsi="Times New Roman"/>
        </w:rPr>
        <w:t xml:space="preserve"> or réplication virale continue</w:t>
      </w:r>
      <w:r>
        <w:rPr>
          <w:rFonts w:ascii="Times New Roman" w:hAnsi="Times New Roman"/>
        </w:rPr>
        <w:br/>
      </w:r>
    </w:p>
    <w:p>
      <w:pPr>
        <w:numPr>
          <w:ilvl w:val="2"/>
          <w:numId w:val="36"/>
        </w:numPr>
      </w:pPr>
      <w:r>
        <w:rPr>
          <w:rFonts w:ascii="Times New Roman" w:hAnsi="Times New Roman"/>
          <w:b/>
        </w:rPr>
        <w:t>Ac</w:t>
      </w:r>
      <w:r>
        <w:rPr>
          <w:rFonts w:ascii="Times New Roman" w:hAnsi="Times New Roman"/>
          <w:b/>
        </w:rPr>
        <w:t xml:space="preserve"> anti-</w:t>
      </w:r>
      <w:r>
        <w:rPr>
          <w:rFonts w:ascii="Times New Roman" w:hAnsi="Times New Roman"/>
          <w:b/>
        </w:rPr>
        <w:t>HBc</w:t>
      </w:r>
      <w:r>
        <w:rPr>
          <w:rFonts w:ascii="Times New Roman" w:hAnsi="Times New Roman"/>
          <w:b/>
        </w:rPr>
        <w:t xml:space="preserve"> :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Apparaîssent</w:t>
      </w:r>
      <w:r>
        <w:rPr>
          <w:rFonts w:ascii="Times New Roman" w:hAnsi="Times New Roman"/>
        </w:rPr>
        <w:t xml:space="preserve"> dans le sang 2 - 3 semaines après la présence d’Ag </w:t>
      </w:r>
      <w:r>
        <w:rPr>
          <w:rFonts w:ascii="Times New Roman" w:hAnsi="Times New Roman"/>
        </w:rPr>
        <w:t>HBs</w:t>
      </w:r>
    </w:p>
    <w:p>
      <w:pPr>
        <w:numPr>
          <w:ilvl w:val="3"/>
          <w:numId w:val="36"/>
        </w:numPr>
      </w:pPr>
      <w:r>
        <w:rPr>
          <w:rFonts w:ascii="Times New Roman" w:hAnsi="Times New Roman"/>
          <w:b/>
        </w:rPr>
        <w:t>Signification : marqueur constant de contact avec le virus</w:t>
      </w:r>
      <w:r>
        <w:rPr>
          <w:rFonts w:ascii="Times New Roman" w:hAnsi="Times New Roman"/>
          <w:b/>
        </w:rPr>
        <w:br/>
      </w:r>
    </w:p>
    <w:p>
      <w:pPr>
        <w:numPr>
          <w:ilvl w:val="3"/>
          <w:numId w:val="36"/>
        </w:numPr>
      </w:pPr>
      <w:r>
        <w:rPr>
          <w:rFonts w:ascii="Times New Roman" w:hAnsi="Times New Roman"/>
          <w:b/>
        </w:rPr>
        <w:t>2 types :</w:t>
      </w:r>
    </w:p>
    <w:p>
      <w:pPr>
        <w:numPr>
          <w:ilvl w:val="4"/>
          <w:numId w:val="36"/>
        </w:numPr>
      </w:pPr>
      <w:r>
        <w:rPr>
          <w:rFonts w:ascii="Times New Roman" w:hAnsi="Times New Roman"/>
          <w:b/>
        </w:rPr>
        <w:t>IgM anti-</w:t>
      </w:r>
      <w:r>
        <w:rPr>
          <w:rFonts w:ascii="Times New Roman" w:hAnsi="Times New Roman"/>
          <w:b/>
        </w:rPr>
        <w:t>HBc</w:t>
      </w:r>
      <w:r>
        <w:rPr>
          <w:rFonts w:ascii="Times New Roman" w:hAnsi="Times New Roman"/>
          <w:b/>
        </w:rPr>
        <w:t xml:space="preserve"> : HVB actuelle</w:t>
      </w:r>
    </w:p>
    <w:p>
      <w:pPr>
        <w:numPr>
          <w:ilvl w:val="4"/>
          <w:numId w:val="36"/>
        </w:numPr>
      </w:pPr>
      <w:r>
        <w:rPr>
          <w:rFonts w:ascii="Times New Roman" w:hAnsi="Times New Roman"/>
          <w:b/>
        </w:rPr>
        <w:t>IGG anti-</w:t>
      </w:r>
      <w:r>
        <w:rPr>
          <w:rFonts w:ascii="Times New Roman" w:hAnsi="Times New Roman"/>
          <w:b/>
        </w:rPr>
        <w:t>HBc</w:t>
      </w:r>
      <w:r>
        <w:rPr>
          <w:rFonts w:ascii="Times New Roman" w:hAnsi="Times New Roman"/>
          <w:b/>
        </w:rPr>
        <w:t xml:space="preserve"> : persiste longtemps, HVB ancienne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Intérêt : </w:t>
      </w:r>
    </w:p>
    <w:p>
      <w:pPr>
        <w:numPr>
          <w:ilvl w:val="4"/>
          <w:numId w:val="36"/>
        </w:numPr>
      </w:pPr>
      <w:r>
        <w:rPr>
          <w:rFonts w:ascii="Times New Roman" w:hAnsi="Times New Roman"/>
        </w:rPr>
        <w:t xml:space="preserve">Présents dans le sang pendant le trou sérologique (temps qui s’écoule entre la disparition de l’Ag 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 et l’apparition des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</w:p>
    <w:p>
      <w:pPr>
        <w:numPr>
          <w:ilvl w:val="1"/>
          <w:numId w:val="36"/>
        </w:numPr>
      </w:pPr>
      <w:r>
        <w:rPr>
          <w:rFonts w:ascii="Times New Roman" w:hAnsi="Times New Roman"/>
          <w:b/>
        </w:rPr>
        <w:t>Virus mutant pré-C :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 xml:space="preserve">Pas de synthèse </w:t>
      </w:r>
      <w:r>
        <w:rPr>
          <w:rFonts w:ascii="Times New Roman" w:hAnsi="Times New Roman"/>
        </w:rPr>
        <w:t>d’</w:t>
      </w:r>
      <w:r>
        <w:rPr>
          <w:rFonts w:ascii="Times New Roman" w:hAnsi="Times New Roman"/>
        </w:rPr>
        <w:t>AgHBe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 xml:space="preserve">Présence </w:t>
      </w:r>
      <w:r>
        <w:rPr>
          <w:rFonts w:ascii="Times New Roman" w:hAnsi="Times New Roman"/>
        </w:rPr>
        <w:t>d’</w:t>
      </w:r>
      <w:r>
        <w:rPr>
          <w:rFonts w:ascii="Times New Roman" w:hAnsi="Times New Roman"/>
        </w:rPr>
        <w:t>AcHBe</w:t>
      </w:r>
      <w:r>
        <w:rPr>
          <w:rFonts w:ascii="Times New Roman" w:hAnsi="Times New Roman"/>
        </w:rPr>
        <w:t xml:space="preserve"> :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Pas de signification de promesse de guérison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Présent : même dans l’hépatite chronique</w:t>
      </w:r>
      <w:r>
        <w:rPr>
          <w:rFonts w:ascii="Times New Roman" w:hAnsi="Times New Roman"/>
        </w:rPr>
        <w:br/>
      </w:r>
    </w:p>
    <w:p>
      <w:pPr/>
      <w:r>
        <w:drawing>
          <wp:inline xmlns:a="http://schemas.openxmlformats.org/drawingml/2006/main" xmlns:pic="http://schemas.openxmlformats.org/drawingml/2006/picture">
            <wp:extent cx="22580600" cy="1689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80600" cy="168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36"/>
        </w:numPr>
      </w:pPr>
      <w:r>
        <w:rPr>
          <w:rFonts w:ascii="Times New Roman" w:hAnsi="Times New Roman"/>
          <w:b/>
          <w:u w:val="single"/>
        </w:rPr>
        <w:t>Transmission :</w:t>
      </w:r>
    </w:p>
    <w:p>
      <w:pPr>
        <w:numPr>
          <w:ilvl w:val="2"/>
          <w:numId w:val="36"/>
        </w:numPr>
      </w:pPr>
      <w:r>
        <w:rPr>
          <w:rFonts w:ascii="Times New Roman" w:hAnsi="Times New Roman"/>
          <w:b/>
          <w:u w:val="single"/>
        </w:rPr>
        <w:t>Sang :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Transfusion sanguine ou des dérivés sanguins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Matériels non stérilisés :</w:t>
      </w:r>
    </w:p>
    <w:p>
      <w:pPr>
        <w:numPr>
          <w:ilvl w:val="4"/>
          <w:numId w:val="36"/>
        </w:numPr>
      </w:pPr>
      <w:r>
        <w:rPr>
          <w:rFonts w:ascii="Times New Roman" w:hAnsi="Times New Roman"/>
        </w:rPr>
        <w:t xml:space="preserve">Seringues, aiguilles, tatouage, matériels d’acupuncture, matériels de </w:t>
      </w:r>
      <w:r>
        <w:rPr>
          <w:rFonts w:ascii="Times New Roman" w:hAnsi="Times New Roman"/>
        </w:rPr>
        <w:t>percing</w:t>
      </w:r>
    </w:p>
    <w:p>
      <w:pPr>
        <w:numPr>
          <w:ilvl w:val="4"/>
          <w:numId w:val="36"/>
        </w:numPr>
      </w:pPr>
      <w:r>
        <w:rPr>
          <w:rFonts w:ascii="Times New Roman" w:hAnsi="Times New Roman"/>
        </w:rPr>
        <w:t>Toxicomanie intraveineuse</w:t>
      </w:r>
    </w:p>
    <w:p>
      <w:pPr>
        <w:numPr>
          <w:ilvl w:val="2"/>
          <w:numId w:val="36"/>
        </w:numPr>
      </w:pPr>
      <w:r>
        <w:rPr>
          <w:rFonts w:ascii="Times New Roman" w:hAnsi="Times New Roman"/>
          <w:b/>
          <w:u w:val="single"/>
        </w:rPr>
        <w:t>Sexe :</w:t>
      </w:r>
      <w:r>
        <w:rPr>
          <w:rFonts w:ascii="Times New Roman" w:hAnsi="Times New Roman"/>
        </w:rPr>
        <w:t xml:space="preserve"> sperme, sécrétions vaginales</w:t>
      </w:r>
    </w:p>
    <w:p>
      <w:pPr>
        <w:numPr>
          <w:ilvl w:val="2"/>
          <w:numId w:val="36"/>
        </w:numPr>
      </w:pPr>
      <w:r>
        <w:rPr>
          <w:rFonts w:ascii="Times New Roman" w:hAnsi="Times New Roman"/>
          <w:b/>
          <w:u w:val="single"/>
        </w:rPr>
        <w:t>Transmission mère-enfant :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Essentiellement pendant la naissance, au moment de l’accouchement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Pendant les premières semaines de vie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Salive, sueurs</w:t>
      </w:r>
      <w:r>
        <w:rPr>
          <w:rFonts w:ascii="Times New Roman" w:hAnsi="Times New Roman"/>
        </w:rPr>
        <w:br/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01"/>
          </w:tcPr>
          <w:p/>
          <w:p>
            <w:pPr>
              <w:jc w:val="center"/>
            </w:pPr>
            <w:r>
              <w:rPr>
                <w:rFonts w:ascii="Times New Roman" w:hAnsi="Times New Roman"/>
              </w:rPr>
              <w:t>MARQUEURS</w:t>
            </w:r>
          </w:p>
        </w:tc>
        <w:tc>
          <w:tcPr>
            <w:tcW w:type="dxa" w:w="3901"/>
          </w:tcPr>
          <w:p/>
          <w:p>
            <w:pPr>
              <w:jc w:val="center"/>
            </w:pPr>
            <w:r>
              <w:rPr>
                <w:rFonts w:ascii="Times New Roman" w:hAnsi="Times New Roman"/>
              </w:rPr>
              <w:t>SIGNIFICATIONS</w:t>
            </w:r>
          </w:p>
        </w:tc>
      </w:tr>
      <w:tr>
        <w:tc>
          <w:tcPr>
            <w:tcW w:type="dxa" w:w="3901"/>
          </w:tcPr>
          <w:p/>
          <w:p>
            <w:pPr/>
            <w:r>
              <w:rPr>
                <w:rFonts w:ascii="Times New Roman" w:hAnsi="Times New Roman"/>
              </w:rPr>
              <w:t xml:space="preserve">Ag </w:t>
            </w:r>
            <w:r>
              <w:rPr>
                <w:rFonts w:ascii="Times New Roman" w:hAnsi="Times New Roman"/>
              </w:rPr>
              <w:t>HBs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type="dxa" w:w="3901"/>
          </w:tcPr>
          <w:p/>
          <w:p>
            <w:pPr/>
            <w:r>
              <w:rPr>
                <w:rFonts w:ascii="Times New Roman" w:hAnsi="Times New Roman"/>
              </w:rPr>
              <w:t>Infection non guérie</w:t>
            </w:r>
          </w:p>
        </w:tc>
      </w:tr>
      <w:tr>
        <w:tc>
          <w:tcPr>
            <w:tcW w:type="dxa" w:w="3901"/>
          </w:tcPr>
          <w:p/>
          <w:p>
            <w:pPr/>
            <w:r>
              <w:rPr>
                <w:rFonts w:ascii="Times New Roman" w:hAnsi="Times New Roman"/>
              </w:rPr>
              <w:t>Ac</w:t>
            </w:r>
            <w:r>
              <w:rPr>
                <w:rFonts w:ascii="Times New Roman" w:hAnsi="Times New Roman"/>
              </w:rPr>
              <w:t xml:space="preserve"> anti-</w:t>
            </w:r>
            <w:r>
              <w:rPr>
                <w:rFonts w:ascii="Times New Roman" w:hAnsi="Times New Roman"/>
              </w:rPr>
              <w:t>HBs</w:t>
            </w:r>
          </w:p>
        </w:tc>
        <w:tc>
          <w:tcPr>
            <w:tcW w:type="dxa" w:w="3901"/>
          </w:tcPr>
          <w:p/>
          <w:p>
            <w:pPr/>
            <w:r>
              <w:rPr>
                <w:rFonts w:ascii="Times New Roman" w:hAnsi="Times New Roman"/>
              </w:rPr>
              <w:t>Infection guérie ou vaccination</w:t>
            </w:r>
          </w:p>
        </w:tc>
      </w:tr>
      <w:tr>
        <w:tc>
          <w:tcPr>
            <w:tcW w:type="dxa" w:w="3901"/>
          </w:tcPr>
          <w:p/>
          <w:p>
            <w:pPr/>
            <w:r>
              <w:rPr>
                <w:rFonts w:ascii="Times New Roman" w:hAnsi="Times New Roman"/>
              </w:rPr>
              <w:t xml:space="preserve">Ag </w:t>
            </w:r>
            <w:r>
              <w:rPr>
                <w:rFonts w:ascii="Times New Roman" w:hAnsi="Times New Roman"/>
              </w:rPr>
              <w:t>HBe</w:t>
            </w:r>
          </w:p>
        </w:tc>
        <w:tc>
          <w:tcPr>
            <w:tcW w:type="dxa" w:w="3901"/>
          </w:tcPr>
          <w:p/>
          <w:p>
            <w:pPr/>
            <w:r>
              <w:rPr>
                <w:rFonts w:ascii="Times New Roman" w:hAnsi="Times New Roman"/>
              </w:rPr>
              <w:t>Réplication virale</w:t>
            </w:r>
          </w:p>
        </w:tc>
      </w:tr>
      <w:tr>
        <w:tc>
          <w:tcPr>
            <w:tcW w:type="dxa" w:w="3901"/>
          </w:tcPr>
          <w:p/>
          <w:p>
            <w:pPr/>
            <w:r>
              <w:rPr>
                <w:rFonts w:ascii="Times New Roman" w:hAnsi="Times New Roman"/>
              </w:rPr>
              <w:t>Ac</w:t>
            </w:r>
            <w:r>
              <w:rPr>
                <w:rFonts w:ascii="Times New Roman" w:hAnsi="Times New Roman"/>
              </w:rPr>
              <w:t xml:space="preserve"> anti-</w:t>
            </w:r>
            <w:r>
              <w:rPr>
                <w:rFonts w:ascii="Times New Roman" w:hAnsi="Times New Roman"/>
              </w:rPr>
              <w:t>HBe</w:t>
            </w:r>
          </w:p>
        </w:tc>
        <w:tc>
          <w:tcPr>
            <w:tcW w:type="dxa" w:w="3901"/>
          </w:tcPr>
          <w:p/>
          <w:p>
            <w:pPr/>
            <w:r>
              <w:rPr>
                <w:rFonts w:ascii="Times New Roman" w:hAnsi="Times New Roman"/>
              </w:rPr>
              <w:t>“promesse de guérison</w:t>
            </w:r>
            <w:r>
              <w:rPr>
                <w:rFonts w:ascii="Times New Roman" w:hAnsi="Times New Roman"/>
              </w:rPr>
              <w:t>”,</w:t>
            </w:r>
            <w:r>
              <w:rPr>
                <w:rFonts w:ascii="Times New Roman" w:hAnsi="Times New Roman"/>
              </w:rPr>
              <w:t xml:space="preserve"> promesse d’arrêt de réplication virale, </w:t>
            </w:r>
            <w:r>
              <w:rPr>
                <w:rFonts w:ascii="Times New Roman" w:hAnsi="Times New Roman"/>
                <w:b/>
              </w:rPr>
              <w:t>sauf pour le virus mutant</w:t>
            </w:r>
          </w:p>
        </w:tc>
      </w:tr>
      <w:tr>
        <w:tc>
          <w:tcPr>
            <w:tcW w:type="dxa" w:w="3901"/>
          </w:tcPr>
          <w:p/>
          <w:p>
            <w:pPr/>
            <w:r>
              <w:rPr>
                <w:rFonts w:ascii="Times New Roman" w:hAnsi="Times New Roman"/>
              </w:rPr>
              <w:t>Ac</w:t>
            </w:r>
            <w:r>
              <w:rPr>
                <w:rFonts w:ascii="Times New Roman" w:hAnsi="Times New Roman"/>
              </w:rPr>
              <w:t xml:space="preserve"> anti-</w:t>
            </w:r>
            <w:r>
              <w:rPr>
                <w:rFonts w:ascii="Times New Roman" w:hAnsi="Times New Roman"/>
              </w:rPr>
              <w:t>HBc</w:t>
            </w:r>
          </w:p>
        </w:tc>
        <w:tc>
          <w:tcPr>
            <w:tcW w:type="dxa" w:w="3901"/>
          </w:tcPr>
          <w:p/>
          <w:p>
            <w:pPr/>
            <w:r>
              <w:rPr>
                <w:rFonts w:ascii="Times New Roman" w:hAnsi="Times New Roman"/>
              </w:rPr>
              <w:t>Marqueur constant de contact avec le virus</w:t>
            </w:r>
          </w:p>
        </w:tc>
      </w:tr>
      <w:tr>
        <w:tc>
          <w:tcPr>
            <w:tcW w:type="dxa" w:w="3901"/>
          </w:tcPr>
          <w:p/>
          <w:p>
            <w:pPr/>
            <w:r>
              <w:rPr>
                <w:rFonts w:ascii="Times New Roman" w:hAnsi="Times New Roman"/>
              </w:rPr>
              <w:t>ADN - VHB</w:t>
            </w:r>
          </w:p>
        </w:tc>
        <w:tc>
          <w:tcPr>
            <w:tcW w:type="dxa" w:w="3901"/>
          </w:tcPr>
          <w:p/>
          <w:p>
            <w:pPr/>
            <w:r>
              <w:rPr>
                <w:rFonts w:ascii="Times New Roman" w:hAnsi="Times New Roman"/>
              </w:rPr>
              <w:t>Réplication virale</w:t>
            </w:r>
          </w:p>
        </w:tc>
      </w:tr>
    </w:tbl>
    <w:p>
      <w:pPr>
        <w:ind w:left="720"/>
      </w:pPr>
    </w:p>
    <w:p>
      <w:pPr>
        <w:pStyle w:val="Heading3"/>
        <w:numPr>
          <w:ilvl w:val="0"/>
          <w:numId w:val="81"/>
        </w:numPr>
      </w:pPr>
      <w:r>
        <w:rPr>
          <w:rFonts w:ascii="Times New Roman" w:hAnsi="Times New Roman"/>
        </w:rPr>
        <w:t>HEPATITE C</w:t>
      </w:r>
      <w:r>
        <w:rPr>
          <w:rFonts w:ascii="Times New Roman" w:hAnsi="Times New Roman"/>
        </w:rPr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Virus à ARN simple brin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Découvert en 1989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 xml:space="preserve">6 génotypes : 1 - 2 - </w:t>
      </w:r>
      <w:r>
        <w:rPr>
          <w:rFonts w:ascii="Times New Roman" w:hAnsi="Times New Roman"/>
        </w:rPr>
        <w:t>3 - 4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- 5 - 6</w:t>
      </w:r>
    </w:p>
    <w:p>
      <w:pPr>
        <w:numPr>
          <w:ilvl w:val="1"/>
          <w:numId w:val="36"/>
        </w:numPr>
      </w:pPr>
      <w:r>
        <w:rPr>
          <w:rFonts w:ascii="Times New Roman" w:hAnsi="Times New Roman"/>
          <w:b/>
        </w:rPr>
        <w:t>Transmission :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Sang +++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Transfusion sanguine ++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>Toxicomanie IV (</w:t>
      </w:r>
      <w:r>
        <w:rPr>
          <w:rFonts w:ascii="Times New Roman" w:hAnsi="Times New Roman"/>
          <w:i/>
        </w:rPr>
        <w:t>principalement le mode de contamination en Europe, surtout de l’Est)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AES - </w:t>
      </w:r>
      <w:r>
        <w:rPr>
          <w:rFonts w:ascii="Times New Roman" w:hAnsi="Times New Roman"/>
        </w:rPr>
        <w:t>matériels souillés</w:t>
      </w:r>
      <w:r>
        <w:rPr>
          <w:rFonts w:ascii="Times New Roman" w:hAnsi="Times New Roman"/>
        </w:rPr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Sexe : rare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 xml:space="preserve">Transmission mère-enfant : </w:t>
      </w:r>
      <w:r>
        <w:rPr>
          <w:rFonts w:ascii="Times New Roman" w:hAnsi="Times New Roman"/>
          <w:i/>
        </w:rPr>
        <w:t>essentiellement chez les femmes immunodéprimées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Grossesse 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Accouchement </w:t>
      </w:r>
    </w:p>
    <w:p>
      <w:pPr>
        <w:numPr>
          <w:ilvl w:val="1"/>
          <w:numId w:val="36"/>
        </w:numPr>
      </w:pPr>
      <w:r>
        <w:rPr>
          <w:rFonts w:ascii="Times New Roman" w:hAnsi="Times New Roman"/>
          <w:b/>
        </w:rPr>
        <w:t>Diagnostic :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Recherche d’Ac anti-VHC (Elisa)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 xml:space="preserve">Confirmation : </w:t>
      </w:r>
      <w:r>
        <w:rPr>
          <w:rFonts w:ascii="Times New Roman" w:hAnsi="Times New Roman"/>
        </w:rPr>
        <w:t>PCR  :</w:t>
      </w:r>
      <w:r>
        <w:rPr>
          <w:rFonts w:ascii="Times New Roman" w:hAnsi="Times New Roman"/>
        </w:rPr>
        <w:t xml:space="preserve"> recherche de l’ARN du VHC; si positive = réplication virale (portage de VHC)</w:t>
      </w:r>
    </w:p>
    <w:p>
      <w:pPr>
        <w:pStyle w:val="Heading3"/>
        <w:numPr>
          <w:ilvl w:val="0"/>
          <w:numId w:val="81"/>
        </w:numPr>
      </w:pPr>
      <w:r>
        <w:rPr>
          <w:rFonts w:ascii="Times New Roman" w:hAnsi="Times New Roman"/>
        </w:rPr>
        <w:t>HEPATITE D : “</w:t>
      </w:r>
      <w:r>
        <w:rPr>
          <w:rFonts w:ascii="Times New Roman" w:hAnsi="Times New Roman"/>
        </w:rPr>
        <w:t xml:space="preserve">pour vivre, doit être </w:t>
      </w:r>
      <w:r>
        <w:rPr>
          <w:rFonts w:ascii="Times New Roman" w:hAnsi="Times New Roman"/>
        </w:rPr>
        <w:t>enchassé</w:t>
      </w:r>
      <w:r>
        <w:rPr>
          <w:rFonts w:ascii="Times New Roman" w:hAnsi="Times New Roman"/>
        </w:rPr>
        <w:t xml:space="preserve"> dans l’enveloppe du VHB”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Ne peut exister sans VHB (</w:t>
      </w:r>
      <w:r>
        <w:rPr>
          <w:rFonts w:ascii="Times New Roman" w:hAnsi="Times New Roman"/>
          <w:i/>
        </w:rPr>
        <w:t>”David ne peut exister sans Bernard”)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Petit virus : 35</w:t>
      </w:r>
      <w:r>
        <w:rPr>
          <w:rFonts w:ascii="Times New Roman" w:hAnsi="Times New Roman"/>
        </w:rPr>
        <w:t>nm,</w:t>
      </w:r>
      <w:r>
        <w:rPr>
          <w:rFonts w:ascii="Times New Roman" w:hAnsi="Times New Roman"/>
        </w:rPr>
        <w:t xml:space="preserve"> doté d’une double enveloppe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 xml:space="preserve">Enveloppe externe : Ag 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 (virus défectif)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Enveloppe interne : porte l’Ag Delta = Ag VHD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Le virion est un ARN circulaire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VHD est responsable :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D’une</w:t>
      </w:r>
      <w:r>
        <w:rPr>
          <w:rFonts w:ascii="Times New Roman" w:hAnsi="Times New Roman"/>
        </w:rPr>
        <w:t xml:space="preserve"> co-infection, lorsqu’il y a une infection simultanée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D’une</w:t>
      </w:r>
      <w:r>
        <w:rPr>
          <w:rFonts w:ascii="Times New Roman" w:hAnsi="Times New Roman"/>
        </w:rPr>
        <w:t xml:space="preserve"> surinfection : lorsque l’infection par VHD survient un peu plus tard chez un sujet porteur du VHB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Transmission : sang et sexe</w:t>
      </w:r>
    </w:p>
    <w:p>
      <w:pPr>
        <w:numPr>
          <w:ilvl w:val="1"/>
          <w:numId w:val="36"/>
        </w:numPr>
      </w:pPr>
      <w:r>
        <w:rPr>
          <w:rFonts w:ascii="Times New Roman" w:hAnsi="Times New Roman"/>
          <w:b/>
        </w:rPr>
        <w:t xml:space="preserve">Diagnostic : 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Ag VHD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et </w:t>
      </w:r>
      <w:r>
        <w:rPr>
          <w:rFonts w:ascii="Times New Roman" w:hAnsi="Times New Roman"/>
          <w:b/>
        </w:rPr>
        <w:t>Ac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anti-VHD</w:t>
      </w:r>
      <w:r>
        <w:rPr>
          <w:rFonts w:ascii="Times New Roman" w:hAnsi="Times New Roman"/>
          <w:b/>
        </w:rPr>
        <w:t xml:space="preserve"> : </w:t>
      </w:r>
      <w:r>
        <w:rPr>
          <w:rFonts w:ascii="Times New Roman" w:hAnsi="Times New Roman"/>
        </w:rPr>
        <w:t>apparaîssent</w:t>
      </w:r>
      <w:r>
        <w:rPr>
          <w:rFonts w:ascii="Times New Roman" w:hAnsi="Times New Roman"/>
        </w:rPr>
        <w:t xml:space="preserve"> 2-4 semaines après le début clinique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 xml:space="preserve">Ag 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 habituellement positif (+)</w:t>
      </w:r>
    </w:p>
    <w:p>
      <w:pPr>
        <w:numPr>
          <w:ilvl w:val="2"/>
          <w:numId w:val="36"/>
        </w:numPr>
      </w:pPr>
      <w:r>
        <w:rPr>
          <w:rFonts w:ascii="Times New Roman" w:hAnsi="Times New Roman"/>
          <w:b/>
        </w:rPr>
        <w:t>En cas de Co-infection :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Ag VHD et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anti-VHD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Ag </w:t>
      </w:r>
      <w:r>
        <w:rPr>
          <w:rFonts w:ascii="Times New Roman" w:hAnsi="Times New Roman"/>
        </w:rPr>
        <w:t>Hbs</w:t>
      </w:r>
    </w:p>
    <w:p>
      <w:pPr>
        <w:numPr>
          <w:ilvl w:val="3"/>
          <w:numId w:val="36"/>
        </w:numPr>
      </w:pPr>
      <w:r>
        <w:rPr>
          <w:rFonts w:ascii="Times New Roman" w:hAnsi="Times New Roman"/>
          <w:b/>
          <w:u w:val="single"/>
        </w:rPr>
        <w:t>Ig</w:t>
      </w:r>
      <w:r>
        <w:rPr>
          <w:rFonts w:ascii="Times New Roman" w:hAnsi="Times New Roman"/>
          <w:b/>
          <w:u w:val="single"/>
        </w:rPr>
        <w:t xml:space="preserve"> M </w:t>
      </w:r>
      <w:r>
        <w:rPr>
          <w:rFonts w:ascii="Times New Roman" w:hAnsi="Times New Roman"/>
          <w:b/>
        </w:rPr>
        <w:t>Ac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Hbc</w:t>
      </w:r>
    </w:p>
    <w:p>
      <w:pPr>
        <w:numPr>
          <w:ilvl w:val="2"/>
          <w:numId w:val="36"/>
        </w:numPr>
      </w:pPr>
      <w:r>
        <w:rPr>
          <w:rFonts w:ascii="Times New Roman" w:hAnsi="Times New Roman"/>
          <w:b/>
        </w:rPr>
        <w:t>En cas de surinfection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Ag VHD et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anti-VHD</w:t>
      </w:r>
    </w:p>
    <w:p>
      <w:pPr>
        <w:numPr>
          <w:ilvl w:val="3"/>
          <w:numId w:val="36"/>
        </w:numPr>
      </w:pPr>
      <w:r>
        <w:rPr>
          <w:rFonts w:ascii="Times New Roman" w:hAnsi="Times New Roman"/>
        </w:rPr>
        <w:t xml:space="preserve">Ag </w:t>
      </w:r>
      <w:r>
        <w:rPr>
          <w:rFonts w:ascii="Times New Roman" w:hAnsi="Times New Roman"/>
        </w:rPr>
        <w:t>Hbs</w:t>
      </w:r>
    </w:p>
    <w:p>
      <w:pPr>
        <w:numPr>
          <w:ilvl w:val="3"/>
          <w:numId w:val="36"/>
        </w:numPr>
      </w:pPr>
      <w:r>
        <w:rPr>
          <w:rFonts w:ascii="Times New Roman" w:hAnsi="Times New Roman"/>
          <w:b/>
          <w:u w:val="single"/>
        </w:rPr>
        <w:t>Ig</w:t>
      </w:r>
      <w:r>
        <w:rPr>
          <w:rFonts w:ascii="Times New Roman" w:hAnsi="Times New Roman"/>
          <w:b/>
          <w:u w:val="single"/>
        </w:rPr>
        <w:t xml:space="preserve"> G </w:t>
      </w:r>
      <w:r>
        <w:rPr>
          <w:rFonts w:ascii="Times New Roman" w:hAnsi="Times New Roman"/>
          <w:b/>
        </w:rPr>
        <w:t>Ac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Hbc</w:t>
      </w:r>
      <w:r>
        <w:rPr>
          <w:rFonts w:ascii="Times New Roman" w:hAnsi="Times New Roman"/>
          <w:b/>
        </w:rPr>
        <w:t xml:space="preserve"> (+)</w:t>
      </w:r>
      <w:r>
        <w:rPr>
          <w:rFonts w:ascii="Times New Roman" w:hAnsi="Times New Roman"/>
          <w:b/>
        </w:rPr>
        <w:br/>
      </w:r>
    </w:p>
    <w:p>
      <w:pPr>
        <w:pStyle w:val="Heading3"/>
        <w:numPr>
          <w:ilvl w:val="0"/>
          <w:numId w:val="81"/>
        </w:numPr>
      </w:pPr>
      <w:r>
        <w:rPr>
          <w:rFonts w:ascii="Times New Roman" w:hAnsi="Times New Roman"/>
        </w:rPr>
        <w:t>HEPATITE E :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Virus à ARN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Génotypes : 1 à 8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 xml:space="preserve">On peut le retrouver chez l’homme et les </w:t>
      </w:r>
      <w:r>
        <w:rPr>
          <w:rFonts w:ascii="Times New Roman" w:hAnsi="Times New Roman"/>
        </w:rPr>
        <w:t>animaux ;</w:t>
      </w:r>
      <w:r>
        <w:rPr>
          <w:rFonts w:ascii="Times New Roman" w:hAnsi="Times New Roman"/>
        </w:rPr>
        <w:t xml:space="preserve"> on peut être contaminé soit par la bouche, soit par le sang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Génotype 1 et 2 : Homme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Génotype 3 et 4 : Porc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Génotype 5 et 6 : rare : sanglier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Génotype 7 et 8 : chameau et dromadaire</w:t>
      </w:r>
    </w:p>
    <w:p>
      <w:pPr>
        <w:numPr>
          <w:ilvl w:val="1"/>
          <w:numId w:val="36"/>
        </w:numPr>
      </w:pPr>
      <w:r>
        <w:rPr>
          <w:rFonts w:ascii="Times New Roman" w:hAnsi="Times New Roman"/>
          <w:b/>
        </w:rPr>
        <w:t>Transmission :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Orale : fruits et eau souillés par les selles d’une personne malade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Indirecte : viande de porc insuffisamment cuite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Transfusion sanguine (</w:t>
      </w:r>
      <w:r>
        <w:rPr>
          <w:rFonts w:ascii="Times New Roman" w:hAnsi="Times New Roman"/>
          <w:i/>
        </w:rPr>
        <w:t>possibilité)</w:t>
      </w:r>
    </w:p>
    <w:p>
      <w:pPr>
        <w:numPr>
          <w:ilvl w:val="1"/>
          <w:numId w:val="36"/>
        </w:numPr>
      </w:pPr>
      <w:r>
        <w:rPr>
          <w:rFonts w:ascii="Times New Roman" w:hAnsi="Times New Roman"/>
          <w:b/>
        </w:rPr>
        <w:t>Epidémiologie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Dans le monde : 1</w:t>
      </w:r>
      <w:r>
        <w:rPr>
          <w:rFonts w:ascii="Times New Roman" w:hAnsi="Times New Roman"/>
        </w:rPr>
        <w:t>ère</w:t>
      </w:r>
      <w:r>
        <w:rPr>
          <w:rFonts w:ascii="Times New Roman" w:hAnsi="Times New Roman"/>
        </w:rPr>
        <w:t xml:space="preserve"> cause d’hépatite virale aiguë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Afrique : génotypes 1 et 2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 xml:space="preserve">France : génotype 3 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Asie : génotype 4</w:t>
      </w:r>
    </w:p>
    <w:p>
      <w:pPr>
        <w:numPr>
          <w:ilvl w:val="1"/>
          <w:numId w:val="36"/>
        </w:numPr>
      </w:pPr>
      <w:r>
        <w:rPr>
          <w:rFonts w:ascii="Times New Roman" w:hAnsi="Times New Roman"/>
          <w:b/>
        </w:rPr>
        <w:t>Diagnostic :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anti-HVE</w:t>
      </w:r>
      <w:r>
        <w:rPr>
          <w:rFonts w:ascii="Times New Roman" w:hAnsi="Times New Roman"/>
        </w:rPr>
        <w:t xml:space="preserve"> (IgM)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Ag HVE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ARN HVE</w:t>
      </w:r>
    </w:p>
    <w:p>
      <w:pPr/>
    </w:p>
    <w:p>
      <w:pPr>
        <w:pStyle w:val="Heading2"/>
      </w:pPr>
      <w:r>
        <w:rPr>
          <w:rFonts w:ascii="Times New Roman" w:hAnsi="Times New Roman"/>
        </w:rPr>
        <w:t>SIGNES</w:t>
      </w:r>
    </w:p>
    <w:p>
      <w:pPr>
        <w:pStyle w:val="Heading3"/>
        <w:numPr>
          <w:ilvl w:val="0"/>
          <w:numId w:val="82"/>
        </w:numPr>
      </w:pPr>
      <w:r>
        <w:rPr>
          <w:rFonts w:ascii="Times New Roman" w:hAnsi="Times New Roman"/>
        </w:rPr>
        <w:t>TDD : HVB CYTOLYTIQUE BENIGNE DE L’ADULTE</w:t>
      </w:r>
    </w:p>
    <w:p>
      <w:pPr>
        <w:pStyle w:val="Heading4"/>
        <w:numPr>
          <w:ilvl w:val="0"/>
          <w:numId w:val="83"/>
        </w:numPr>
      </w:pPr>
      <w:r>
        <w:rPr>
          <w:rFonts w:ascii="Times New Roman" w:hAnsi="Times New Roman"/>
        </w:rPr>
        <w:t xml:space="preserve">Incubation : </w:t>
      </w:r>
    </w:p>
    <w:p>
      <w:pPr>
        <w:pStyle w:val="ListParagraph"/>
        <w:numPr>
          <w:ilvl w:val="1"/>
          <w:numId w:val="16"/>
        </w:numPr>
      </w:pP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 mois, silencieuse</w:t>
      </w:r>
    </w:p>
    <w:p>
      <w:pPr>
        <w:pStyle w:val="Heading4"/>
        <w:numPr>
          <w:ilvl w:val="0"/>
          <w:numId w:val="83"/>
        </w:numPr>
      </w:pPr>
      <w:r>
        <w:rPr>
          <w:rFonts w:ascii="Times New Roman" w:hAnsi="Times New Roman"/>
        </w:rPr>
        <w:t>Phase pré-ictérique : 3-10 jours</w:t>
      </w:r>
    </w:p>
    <w:p>
      <w:pPr>
        <w:numPr>
          <w:ilvl w:val="1"/>
          <w:numId w:val="37"/>
        </w:numPr>
      </w:pPr>
      <w:r>
        <w:rPr>
          <w:rFonts w:ascii="Times New Roman" w:hAnsi="Times New Roman"/>
          <w:b/>
          <w:u w:val="single"/>
        </w:rPr>
        <w:t>Syndrome digestif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Anorexie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Nausées et vomissements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Douleur épigastrique en barre</w:t>
      </w:r>
      <w:r>
        <w:rPr>
          <w:rFonts w:ascii="Times New Roman" w:hAnsi="Times New Roman"/>
        </w:rPr>
        <w:br/>
      </w:r>
    </w:p>
    <w:p>
      <w:pPr>
        <w:numPr>
          <w:ilvl w:val="1"/>
          <w:numId w:val="37"/>
        </w:numPr>
      </w:pPr>
      <w:r>
        <w:rPr>
          <w:rFonts w:ascii="Times New Roman" w:hAnsi="Times New Roman"/>
          <w:b/>
        </w:rPr>
        <w:t xml:space="preserve">Syndrome infectieux : </w:t>
      </w:r>
      <w:r>
        <w:rPr>
          <w:rFonts w:ascii="Times New Roman" w:hAnsi="Times New Roman"/>
        </w:rPr>
        <w:t>tableau pseudo-grippal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Asthénie intense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Courbature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Fièvre modérée</w:t>
      </w:r>
      <w:r>
        <w:rPr>
          <w:rFonts w:ascii="Times New Roman" w:hAnsi="Times New Roman"/>
        </w:rPr>
        <w:br/>
      </w:r>
    </w:p>
    <w:p>
      <w:pPr>
        <w:numPr>
          <w:ilvl w:val="1"/>
          <w:numId w:val="37"/>
        </w:numPr>
      </w:pPr>
      <w:r>
        <w:rPr>
          <w:rFonts w:ascii="Times New Roman" w:hAnsi="Times New Roman"/>
          <w:b/>
          <w:u w:val="single"/>
        </w:rPr>
        <w:t xml:space="preserve">Triade de </w:t>
      </w:r>
      <w:r>
        <w:rPr>
          <w:rFonts w:ascii="Times New Roman" w:hAnsi="Times New Roman"/>
          <w:b/>
          <w:u w:val="single"/>
        </w:rPr>
        <w:t>Caroli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Céphalée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Urticaire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Arthralgie</w:t>
      </w:r>
      <w:r>
        <w:rPr>
          <w:rFonts w:ascii="Times New Roman" w:hAnsi="Times New Roman"/>
        </w:rPr>
        <w:br/>
      </w:r>
    </w:p>
    <w:p>
      <w:pPr>
        <w:numPr>
          <w:ilvl w:val="1"/>
          <w:numId w:val="37"/>
        </w:numPr>
      </w:pPr>
      <w:r>
        <w:rPr>
          <w:rFonts w:ascii="Times New Roman" w:hAnsi="Times New Roman"/>
          <w:b/>
        </w:rPr>
        <w:t>Examen physique : normal</w:t>
      </w:r>
    </w:p>
    <w:p>
      <w:pPr>
        <w:numPr>
          <w:ilvl w:val="1"/>
          <w:numId w:val="37"/>
        </w:numPr>
      </w:pPr>
      <w:r>
        <w:rPr>
          <w:rFonts w:ascii="Times New Roman" w:hAnsi="Times New Roman"/>
          <w:b/>
        </w:rPr>
        <w:t>Biologie</w:t>
      </w:r>
    </w:p>
    <w:p>
      <w:pPr>
        <w:numPr>
          <w:ilvl w:val="2"/>
          <w:numId w:val="37"/>
        </w:numPr>
      </w:pPr>
      <w:r>
        <w:rPr>
          <w:rFonts w:ascii="Times New Roman" w:hAnsi="Times New Roman"/>
          <w:b/>
        </w:rPr>
        <w:t>Transaminases élevées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 xml:space="preserve">Ag 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- </w:t>
      </w:r>
      <w:r>
        <w:rPr>
          <w:rFonts w:ascii="Times New Roman" w:hAnsi="Times New Roman"/>
        </w:rPr>
        <w:t xml:space="preserve">Ag </w:t>
      </w:r>
      <w:r>
        <w:rPr>
          <w:rFonts w:ascii="Times New Roman" w:hAnsi="Times New Roman"/>
        </w:rPr>
        <w:t>HBe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</w:t>
      </w:r>
      <w:r>
        <w:rPr>
          <w:rFonts w:ascii="Times New Roman" w:hAnsi="Times New Roman"/>
        </w:rPr>
        <w:t>HBc</w:t>
      </w:r>
      <w:r>
        <w:rPr>
          <w:rFonts w:ascii="Times New Roman" w:hAnsi="Times New Roman"/>
        </w:rPr>
        <w:t xml:space="preserve"> type IgM</w:t>
      </w:r>
    </w:p>
    <w:p>
      <w:pPr>
        <w:pStyle w:val="Heading4"/>
        <w:numPr>
          <w:ilvl w:val="0"/>
          <w:numId w:val="83"/>
        </w:numPr>
      </w:pPr>
      <w:r>
        <w:rPr>
          <w:rFonts w:ascii="Times New Roman" w:hAnsi="Times New Roman"/>
        </w:rPr>
        <w:t>Phase ictérique :</w:t>
      </w:r>
    </w:p>
    <w:p>
      <w:pPr>
        <w:numPr>
          <w:ilvl w:val="1"/>
          <w:numId w:val="37"/>
        </w:numPr>
      </w:pPr>
      <w:r>
        <w:rPr>
          <w:rFonts w:ascii="Times New Roman" w:hAnsi="Times New Roman"/>
          <w:b/>
        </w:rPr>
        <w:t>Clinique :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Ictère cholestatique :</w:t>
      </w:r>
    </w:p>
    <w:p>
      <w:pPr>
        <w:numPr>
          <w:ilvl w:val="3"/>
          <w:numId w:val="37"/>
        </w:numPr>
      </w:pPr>
      <w:r>
        <w:rPr>
          <w:rFonts w:ascii="Times New Roman" w:hAnsi="Times New Roman"/>
        </w:rPr>
        <w:t>Ictère franc</w:t>
      </w:r>
    </w:p>
    <w:p>
      <w:pPr>
        <w:numPr>
          <w:ilvl w:val="3"/>
          <w:numId w:val="37"/>
        </w:numPr>
      </w:pPr>
      <w:r>
        <w:rPr>
          <w:rFonts w:ascii="Times New Roman" w:hAnsi="Times New Roman"/>
        </w:rPr>
        <w:t>Urines foncées</w:t>
      </w:r>
    </w:p>
    <w:p>
      <w:pPr>
        <w:numPr>
          <w:ilvl w:val="3"/>
          <w:numId w:val="37"/>
        </w:numPr>
      </w:pPr>
      <w:r>
        <w:rPr>
          <w:rFonts w:ascii="Times New Roman" w:hAnsi="Times New Roman"/>
        </w:rPr>
        <w:t>+/- Selles décolorées</w:t>
      </w:r>
      <w:r>
        <w:rPr>
          <w:rFonts w:ascii="Times New Roman" w:hAnsi="Times New Roman"/>
        </w:rPr>
        <w:br/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 xml:space="preserve">Asthénie, anorexie, </w:t>
      </w:r>
      <w:r>
        <w:rPr>
          <w:rFonts w:ascii="Times New Roman" w:hAnsi="Times New Roman"/>
        </w:rPr>
        <w:t>température +/- normale</w:t>
      </w:r>
      <w:r>
        <w:rPr>
          <w:rFonts w:ascii="Times New Roman" w:hAnsi="Times New Roman"/>
        </w:rPr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Examen physique : pauvre</w:t>
      </w:r>
    </w:p>
    <w:p>
      <w:pPr>
        <w:numPr>
          <w:ilvl w:val="1"/>
          <w:numId w:val="37"/>
        </w:numPr>
      </w:pPr>
      <w:r>
        <w:rPr>
          <w:rFonts w:ascii="Times New Roman" w:hAnsi="Times New Roman"/>
          <w:b/>
        </w:rPr>
        <w:t>Biologie :</w:t>
      </w:r>
    </w:p>
    <w:p>
      <w:pPr>
        <w:numPr>
          <w:ilvl w:val="2"/>
          <w:numId w:val="37"/>
        </w:numPr>
      </w:pPr>
      <w:r>
        <w:rPr>
          <w:rFonts w:ascii="Times New Roman" w:hAnsi="Times New Roman"/>
          <w:b/>
        </w:rPr>
        <w:t xml:space="preserve">Bilan hépatique : </w:t>
      </w:r>
      <w:r>
        <w:rPr>
          <w:rFonts w:ascii="Times New Roman" w:hAnsi="Times New Roman"/>
        </w:rPr>
        <w:t>perturbé</w:t>
      </w:r>
    </w:p>
    <w:p>
      <w:pPr>
        <w:numPr>
          <w:ilvl w:val="3"/>
          <w:numId w:val="37"/>
        </w:numPr>
      </w:pPr>
      <w:r>
        <w:rPr>
          <w:rFonts w:ascii="Times New Roman" w:hAnsi="Times New Roman"/>
          <w:b/>
        </w:rPr>
        <w:t>Cytolyse :</w:t>
      </w:r>
    </w:p>
    <w:p>
      <w:pPr>
        <w:numPr>
          <w:ilvl w:val="4"/>
          <w:numId w:val="37"/>
        </w:numPr>
      </w:pPr>
      <w:r>
        <w:rPr>
          <w:rFonts w:ascii="Times New Roman" w:hAnsi="Times New Roman"/>
        </w:rPr>
        <w:t>Transaminase : 10 - 100N</w:t>
      </w:r>
    </w:p>
    <w:p>
      <w:pPr>
        <w:numPr>
          <w:ilvl w:val="4"/>
          <w:numId w:val="37"/>
        </w:numPr>
      </w:pPr>
      <w:r>
        <w:rPr>
          <w:rFonts w:ascii="Times New Roman" w:hAnsi="Times New Roman"/>
        </w:rPr>
        <w:t>ALAT &gt; ASAT</w:t>
      </w:r>
    </w:p>
    <w:p>
      <w:pPr>
        <w:numPr>
          <w:ilvl w:val="3"/>
          <w:numId w:val="37"/>
        </w:numPr>
      </w:pPr>
      <w:r>
        <w:rPr>
          <w:rFonts w:ascii="Times New Roman" w:hAnsi="Times New Roman"/>
          <w:b/>
        </w:rPr>
        <w:t>IHC</w:t>
      </w:r>
    </w:p>
    <w:p>
      <w:pPr>
        <w:numPr>
          <w:ilvl w:val="4"/>
          <w:numId w:val="37"/>
        </w:numPr>
      </w:pPr>
      <w:r>
        <w:rPr>
          <w:rFonts w:ascii="Times New Roman" w:hAnsi="Times New Roman"/>
          <w:u w:val="single"/>
        </w:rPr>
        <w:t>TP</w:t>
      </w:r>
      <w:r>
        <w:rPr>
          <w:rFonts w:ascii="Times New Roman" w:hAnsi="Times New Roman"/>
        </w:rPr>
      </w:r>
      <w:r>
        <w:rPr>
          <w:rFonts w:ascii="Times New Roman" w:hAnsi="Times New Roman"/>
          <w:u w:val="single"/>
        </w:rPr>
        <w:t xml:space="preserve"> et Facteur V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diminués (</w:t>
      </w:r>
      <w:r>
        <w:rPr>
          <w:rFonts w:ascii="Times New Roman" w:hAnsi="Times New Roman"/>
          <w:i/>
        </w:rPr>
        <w:t>suffisent en pratique)</w:t>
      </w:r>
    </w:p>
    <w:p>
      <w:pPr>
        <w:numPr>
          <w:ilvl w:val="4"/>
          <w:numId w:val="37"/>
        </w:numPr>
      </w:pPr>
      <w:r>
        <w:rPr>
          <w:rFonts w:ascii="Times New Roman" w:hAnsi="Times New Roman"/>
        </w:rPr>
        <w:t xml:space="preserve">Bilirubine libre </w:t>
      </w:r>
      <w:r>
        <w:rPr>
          <w:rFonts w:ascii="Times New Roman" w:hAnsi="Times New Roman"/>
          <w:b/>
        </w:rPr>
        <w:t>élevée</w:t>
      </w:r>
    </w:p>
    <w:p>
      <w:pPr>
        <w:numPr>
          <w:ilvl w:val="4"/>
          <w:numId w:val="37"/>
        </w:numPr>
      </w:pPr>
      <w:r>
        <w:rPr>
          <w:rFonts w:ascii="Times New Roman" w:hAnsi="Times New Roman"/>
        </w:rPr>
        <w:t xml:space="preserve">Cholestérol total </w:t>
      </w:r>
      <w:r>
        <w:rPr>
          <w:rFonts w:ascii="Times New Roman" w:hAnsi="Times New Roman"/>
          <w:b/>
        </w:rPr>
        <w:t>diminué</w:t>
      </w:r>
    </w:p>
    <w:p>
      <w:pPr>
        <w:numPr>
          <w:ilvl w:val="3"/>
          <w:numId w:val="37"/>
        </w:numPr>
      </w:pPr>
      <w:r>
        <w:rPr>
          <w:rFonts w:ascii="Times New Roman" w:hAnsi="Times New Roman"/>
          <w:b/>
        </w:rPr>
        <w:t>Cholestase :</w:t>
      </w:r>
    </w:p>
    <w:p>
      <w:pPr>
        <w:numPr>
          <w:ilvl w:val="4"/>
          <w:numId w:val="37"/>
        </w:numPr>
      </w:pPr>
      <w:r>
        <w:rPr>
          <w:rFonts w:ascii="Times New Roman" w:hAnsi="Times New Roman"/>
          <w:b/>
        </w:rPr>
        <w:t xml:space="preserve">PAL et bilirubine conjuguée : </w:t>
      </w:r>
      <w:r>
        <w:rPr>
          <w:rFonts w:ascii="Times New Roman" w:hAnsi="Times New Roman"/>
          <w:b/>
          <w:u w:val="single"/>
        </w:rPr>
        <w:t>augmentés</w:t>
      </w:r>
    </w:p>
    <w:p>
      <w:pPr>
        <w:numPr>
          <w:ilvl w:val="4"/>
          <w:numId w:val="37"/>
        </w:numPr>
      </w:pPr>
      <w:r>
        <w:rPr>
          <w:rFonts w:ascii="Times New Roman" w:hAnsi="Times New Roman"/>
          <w:b/>
        </w:rPr>
        <w:t>Sels et piments biliaires dans les urines</w:t>
      </w:r>
    </w:p>
    <w:p>
      <w:pPr>
        <w:numPr>
          <w:ilvl w:val="3"/>
          <w:numId w:val="37"/>
        </w:numPr>
      </w:pPr>
      <w:r>
        <w:rPr>
          <w:rFonts w:ascii="Times New Roman" w:hAnsi="Times New Roman"/>
          <w:b/>
        </w:rPr>
        <w:t xml:space="preserve">Inflammation : </w:t>
      </w:r>
    </w:p>
    <w:p>
      <w:pPr>
        <w:numPr>
          <w:ilvl w:val="4"/>
          <w:numId w:val="37"/>
        </w:numPr>
      </w:pPr>
      <w:r>
        <w:rPr>
          <w:rFonts w:ascii="Times New Roman" w:hAnsi="Times New Roman"/>
        </w:rPr>
        <w:t>VS augmenté</w:t>
      </w:r>
    </w:p>
    <w:p>
      <w:pPr>
        <w:numPr>
          <w:ilvl w:val="4"/>
          <w:numId w:val="37"/>
        </w:numPr>
      </w:pPr>
      <w:r>
        <w:rPr>
          <w:rFonts w:ascii="Times New Roman" w:hAnsi="Times New Roman"/>
        </w:rPr>
        <w:t>Hypogammaglobulinémie</w:t>
      </w:r>
      <w:r>
        <w:rPr>
          <w:rFonts w:ascii="Times New Roman" w:hAnsi="Times New Roman"/>
        </w:rPr>
        <w:br/>
      </w:r>
    </w:p>
    <w:p>
      <w:pPr>
        <w:numPr>
          <w:ilvl w:val="2"/>
          <w:numId w:val="37"/>
        </w:numPr>
      </w:pPr>
      <w:r>
        <w:rPr>
          <w:rFonts w:ascii="Times New Roman" w:hAnsi="Times New Roman"/>
          <w:b/>
        </w:rPr>
        <w:t>Marqueurs</w:t>
      </w:r>
      <w:r>
        <w:rPr>
          <w:rFonts w:ascii="Times New Roman" w:hAnsi="Times New Roman"/>
          <w:b/>
        </w:rPr>
        <w:t xml:space="preserve"> viraux :</w:t>
      </w:r>
    </w:p>
    <w:p>
      <w:pPr>
        <w:numPr>
          <w:ilvl w:val="3"/>
          <w:numId w:val="37"/>
        </w:numPr>
      </w:pPr>
      <w:r>
        <w:rPr>
          <w:rFonts w:ascii="Times New Roman" w:hAnsi="Times New Roman"/>
        </w:rPr>
        <w:t xml:space="preserve">Ag 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 </w:t>
      </w:r>
    </w:p>
    <w:p>
      <w:pPr>
        <w:numPr>
          <w:ilvl w:val="3"/>
          <w:numId w:val="37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HBc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b/>
        </w:rPr>
        <w:t>(</w:t>
      </w:r>
      <w:r>
        <w:rPr>
          <w:rFonts w:ascii="Times New Roman" w:hAnsi="Times New Roman"/>
          <w:b/>
        </w:rPr>
        <w:t>Ig</w:t>
      </w:r>
      <w:r>
        <w:rPr>
          <w:rFonts w:ascii="Times New Roman" w:hAnsi="Times New Roman"/>
          <w:b/>
        </w:rPr>
        <w:t xml:space="preserve"> M)</w:t>
      </w:r>
      <w:r>
        <w:rPr>
          <w:rFonts w:ascii="Times New Roman" w:hAnsi="Times New Roman"/>
          <w:b/>
        </w:rPr>
        <w:br/>
      </w:r>
    </w:p>
    <w:p>
      <w:pPr>
        <w:numPr>
          <w:ilvl w:val="1"/>
          <w:numId w:val="37"/>
        </w:numPr>
      </w:pPr>
      <w:r>
        <w:rPr>
          <w:rFonts w:ascii="Times New Roman" w:hAnsi="Times New Roman"/>
          <w:b/>
        </w:rPr>
        <w:t>Imagerie médicale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Echographie systématique (car ictère)</w:t>
      </w:r>
    </w:p>
    <w:p>
      <w:pPr>
        <w:numPr>
          <w:ilvl w:val="3"/>
          <w:numId w:val="37"/>
        </w:numPr>
      </w:pPr>
      <w:r>
        <w:rPr>
          <w:rFonts w:ascii="Times New Roman" w:hAnsi="Times New Roman"/>
        </w:rPr>
        <w:t xml:space="preserve">Normale : </w:t>
      </w:r>
      <w:r>
        <w:rPr>
          <w:rFonts w:ascii="Times New Roman" w:hAnsi="Times New Roman"/>
          <w:b/>
        </w:rPr>
        <w:t>pas de dilatation des voies biliaires intra- et extra-hépatiques</w:t>
      </w:r>
      <w:r>
        <w:rPr>
          <w:rFonts w:ascii="Times New Roman" w:hAnsi="Times New Roman"/>
          <w:b/>
        </w:rPr>
        <w:br/>
      </w:r>
    </w:p>
    <w:p>
      <w:pPr>
        <w:pStyle w:val="Heading4"/>
        <w:numPr>
          <w:ilvl w:val="0"/>
          <w:numId w:val="83"/>
        </w:numPr>
      </w:pPr>
      <w:r>
        <w:rPr>
          <w:rFonts w:ascii="Times New Roman" w:hAnsi="Times New Roman"/>
        </w:rPr>
        <w:t>EVOLUTION :</w:t>
      </w:r>
    </w:p>
    <w:p>
      <w:pPr>
        <w:numPr>
          <w:ilvl w:val="1"/>
          <w:numId w:val="37"/>
        </w:numPr>
      </w:pPr>
      <w:r>
        <w:rPr>
          <w:rFonts w:ascii="Times New Roman" w:hAnsi="Times New Roman"/>
          <w:b/>
        </w:rPr>
        <w:t>Souvent favorable :</w:t>
      </w:r>
      <w:r>
        <w:rPr>
          <w:rFonts w:ascii="Times New Roman" w:hAnsi="Times New Roman"/>
        </w:rPr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Disparition de l’ictère en 3 à 4 semaines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Normalisation du bilan biologique : diminution progressive de la bilirubinémie, diminution des transaminases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Disparition de l’</w:t>
      </w:r>
      <w:r>
        <w:rPr>
          <w:rFonts w:ascii="Times New Roman" w:hAnsi="Times New Roman"/>
        </w:rPr>
        <w:t>AgHBs</w:t>
      </w:r>
    </w:p>
    <w:p>
      <w:pPr>
        <w:numPr>
          <w:ilvl w:val="2"/>
          <w:numId w:val="37"/>
        </w:numPr>
      </w:pPr>
      <w:r>
        <w:rPr>
          <w:rFonts w:ascii="Times New Roman" w:hAnsi="Times New Roman"/>
        </w:rPr>
        <w:t>Apparition de l’anticorps anti-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  </w:t>
      </w:r>
    </w:p>
    <w:p>
      <w:pPr/>
    </w:p>
    <w:p>
      <w:pPr>
        <w:pStyle w:val="Heading3"/>
        <w:numPr>
          <w:ilvl w:val="0"/>
          <w:numId w:val="82"/>
        </w:numPr>
      </w:pPr>
      <w:r>
        <w:rPr>
          <w:rFonts w:ascii="Times New Roman" w:hAnsi="Times New Roman"/>
        </w:rPr>
        <w:t>FORMES CLINIQUES</w:t>
      </w:r>
      <w:r>
        <w:rPr>
          <w:rFonts w:ascii="Times New Roman" w:hAnsi="Times New Roman"/>
        </w:rPr>
        <w:t xml:space="preserve"> </w:t>
      </w:r>
    </w:p>
    <w:p>
      <w:pPr>
        <w:pStyle w:val="Heading4"/>
        <w:numPr>
          <w:ilvl w:val="0"/>
          <w:numId w:val="44"/>
        </w:numPr>
      </w:pPr>
      <w:r>
        <w:rPr>
          <w:rFonts w:ascii="Times New Roman" w:hAnsi="Times New Roman"/>
        </w:rPr>
        <w:t>Formes symptomatiques</w:t>
      </w:r>
    </w:p>
    <w:p>
      <w:pPr>
        <w:pStyle w:val="Heading5"/>
        <w:numPr>
          <w:ilvl w:val="0"/>
          <w:numId w:val="84"/>
        </w:numPr>
      </w:pPr>
      <w:r>
        <w:rPr>
          <w:rFonts w:ascii="Times New Roman" w:hAnsi="Times New Roman"/>
        </w:rPr>
        <w:t>Formes asymptomatiques :</w:t>
      </w:r>
    </w:p>
    <w:p>
      <w:pPr>
        <w:numPr>
          <w:ilvl w:val="0"/>
          <w:numId w:val="38"/>
        </w:numPr>
      </w:pPr>
      <w:r>
        <w:rPr>
          <w:rFonts w:ascii="Times New Roman" w:hAnsi="Times New Roman"/>
        </w:rPr>
        <w:t>80 - 90% des cas</w:t>
      </w:r>
    </w:p>
    <w:p>
      <w:pPr>
        <w:numPr>
          <w:ilvl w:val="0"/>
          <w:numId w:val="38"/>
        </w:numPr>
      </w:pPr>
      <w:r>
        <w:rPr>
          <w:rFonts w:ascii="Times New Roman" w:hAnsi="Times New Roman"/>
        </w:rPr>
        <w:t>Diagnostic fortuit : cytolyse (</w:t>
      </w:r>
      <w:r>
        <w:rPr>
          <w:rFonts w:ascii="Times New Roman" w:hAnsi="Times New Roman"/>
          <w:i/>
        </w:rPr>
        <w:t>bilan d’embauche ou asthénie)</w:t>
      </w:r>
      <w:r>
        <w:rPr>
          <w:rFonts w:ascii="Times New Roman" w:hAnsi="Times New Roman"/>
          <w:i/>
        </w:rPr>
        <w:br/>
      </w:r>
    </w:p>
    <w:p>
      <w:pPr>
        <w:pStyle w:val="Heading5"/>
        <w:numPr>
          <w:ilvl w:val="0"/>
          <w:numId w:val="84"/>
        </w:numPr>
      </w:pPr>
      <w:r>
        <w:rPr>
          <w:rFonts w:ascii="Times New Roman" w:hAnsi="Times New Roman"/>
        </w:rPr>
        <w:t>Formes cholestatiques :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>Ictère extrêmement prononcé (</w:t>
      </w:r>
      <w:r>
        <w:rPr>
          <w:rFonts w:ascii="Times New Roman" w:hAnsi="Times New Roman"/>
          <w:i/>
        </w:rPr>
        <w:t>yeux non jaunes</w:t>
      </w:r>
      <w:r>
        <w:rPr>
          <w:rFonts w:ascii="Times New Roman" w:hAnsi="Times New Roman"/>
          <w:i/>
        </w:rPr>
        <w:t xml:space="preserve"> mais limite orange)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>Biologie : cholestase importante</w:t>
      </w:r>
    </w:p>
    <w:p>
      <w:pPr>
        <w:numPr>
          <w:ilvl w:val="1"/>
          <w:numId w:val="39"/>
        </w:numPr>
      </w:pPr>
      <w:r>
        <w:rPr>
          <w:rFonts w:ascii="Times New Roman" w:hAnsi="Times New Roman"/>
        </w:rPr>
        <w:t>Augmentation gamma GT, PAL, Bilirubine totale surtout conjuguée++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>Diagnostic :</w:t>
      </w:r>
    </w:p>
    <w:p>
      <w:pPr>
        <w:numPr>
          <w:ilvl w:val="1"/>
          <w:numId w:val="39"/>
        </w:numPr>
      </w:pPr>
      <w:r>
        <w:rPr>
          <w:rFonts w:ascii="Times New Roman" w:hAnsi="Times New Roman"/>
          <w:b/>
        </w:rPr>
        <w:t>Echographie ++ : absence de dilatation des VBIH/VBEH</w:t>
      </w:r>
    </w:p>
    <w:p>
      <w:pPr>
        <w:numPr>
          <w:ilvl w:val="1"/>
          <w:numId w:val="39"/>
        </w:numPr>
      </w:pPr>
      <w:r>
        <w:rPr>
          <w:rFonts w:ascii="Times New Roman" w:hAnsi="Times New Roman"/>
          <w:b/>
        </w:rPr>
        <w:t>Sérologie ++ (</w:t>
      </w:r>
      <w:r>
        <w:rPr>
          <w:rFonts w:ascii="Times New Roman" w:hAnsi="Times New Roman"/>
          <w:i/>
        </w:rPr>
        <w:t xml:space="preserve">Ag </w:t>
      </w:r>
      <w:r>
        <w:rPr>
          <w:rFonts w:ascii="Times New Roman" w:hAnsi="Times New Roman"/>
          <w:i/>
        </w:rPr>
        <w:t>HBs</w:t>
      </w:r>
      <w:r>
        <w:rPr>
          <w:rFonts w:ascii="Times New Roman" w:hAnsi="Times New Roman"/>
          <w:i/>
        </w:rPr>
        <w:t xml:space="preserve"> et </w:t>
      </w:r>
      <w:r>
        <w:rPr>
          <w:rFonts w:ascii="Times New Roman" w:hAnsi="Times New Roman"/>
          <w:i/>
        </w:rPr>
        <w:t>Ac</w:t>
      </w:r>
      <w:r>
        <w:rPr>
          <w:rFonts w:ascii="Times New Roman" w:hAnsi="Times New Roman"/>
          <w:i/>
        </w:rPr>
        <w:t xml:space="preserve"> anti-</w:t>
      </w:r>
      <w:r>
        <w:rPr>
          <w:rFonts w:ascii="Times New Roman" w:hAnsi="Times New Roman"/>
          <w:i/>
        </w:rPr>
        <w:t>HBc</w:t>
      </w:r>
      <w:r>
        <w:rPr>
          <w:rFonts w:ascii="Times New Roman" w:hAnsi="Times New Roman"/>
          <w:i/>
        </w:rPr>
        <w:t xml:space="preserve"> type IgM)</w:t>
      </w:r>
    </w:p>
    <w:p>
      <w:pPr/>
    </w:p>
    <w:p>
      <w:pPr>
        <w:pStyle w:val="Heading4"/>
        <w:numPr>
          <w:ilvl w:val="0"/>
          <w:numId w:val="45"/>
        </w:numPr>
      </w:pPr>
      <w:r>
        <w:rPr>
          <w:rFonts w:ascii="Times New Roman" w:hAnsi="Times New Roman"/>
        </w:rPr>
        <w:t xml:space="preserve">Formes évolutives : </w:t>
      </w:r>
    </w:p>
    <w:p>
      <w:pPr>
        <w:pStyle w:val="Heading5"/>
        <w:numPr>
          <w:ilvl w:val="0"/>
          <w:numId w:val="85"/>
        </w:numPr>
      </w:pPr>
      <w:r>
        <w:rPr>
          <w:rFonts w:ascii="Times New Roman" w:hAnsi="Times New Roman"/>
        </w:rPr>
        <w:t>Formes prolongées :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>Persistance des anomalies biologiques &gt; 4ème semaine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>Guérison : 3-4ème mois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br/>
      </w:r>
    </w:p>
    <w:p>
      <w:pPr>
        <w:pStyle w:val="Heading5"/>
        <w:numPr>
          <w:ilvl w:val="0"/>
          <w:numId w:val="85"/>
        </w:numPr>
      </w:pPr>
      <w:r>
        <w:rPr>
          <w:rFonts w:ascii="Times New Roman" w:hAnsi="Times New Roman"/>
        </w:rPr>
        <w:t>Hépatite virale chronique :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 xml:space="preserve">Définition : persistance de l’Ag 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 dans le sang &gt; 6 mois</w:t>
      </w:r>
    </w:p>
    <w:p>
      <w:pPr>
        <w:numPr>
          <w:ilvl w:val="1"/>
          <w:numId w:val="40"/>
        </w:numPr>
      </w:pPr>
      <w:r>
        <w:rPr>
          <w:rFonts w:ascii="Times New Roman" w:hAnsi="Times New Roman"/>
          <w:b/>
        </w:rPr>
        <w:t>Clinique :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Asymptomatique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Asthénie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/ </w:t>
      </w:r>
      <w:r>
        <w:rPr>
          <w:rFonts w:ascii="Times New Roman" w:hAnsi="Times New Roman"/>
          <w:i/>
        </w:rPr>
        <w:t>fatigabilité</w:t>
      </w:r>
    </w:p>
    <w:p>
      <w:pPr>
        <w:numPr>
          <w:ilvl w:val="1"/>
          <w:numId w:val="40"/>
        </w:numPr>
      </w:pPr>
      <w:r>
        <w:rPr>
          <w:rFonts w:ascii="Times New Roman" w:hAnsi="Times New Roman"/>
          <w:b/>
        </w:rPr>
        <w:t>Biologie :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Bilan hépatique : surtout ALAT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 xml:space="preserve">Ag 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 (positif), Ag </w:t>
      </w:r>
      <w:r>
        <w:rPr>
          <w:rFonts w:ascii="Times New Roman" w:hAnsi="Times New Roman"/>
        </w:rPr>
        <w:t>HBe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>parfois négatif si virus mutant)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</w:t>
      </w:r>
      <w:r>
        <w:rPr>
          <w:rFonts w:ascii="Times New Roman" w:hAnsi="Times New Roman"/>
        </w:rPr>
        <w:t>HBe</w:t>
      </w:r>
      <w:r>
        <w:rPr>
          <w:rFonts w:ascii="Times New Roman" w:hAnsi="Times New Roman"/>
        </w:rPr>
        <w:t xml:space="preserve"> (positif)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</w:t>
      </w:r>
      <w:r>
        <w:rPr>
          <w:rFonts w:ascii="Times New Roman" w:hAnsi="Times New Roman"/>
        </w:rPr>
        <w:t>HBc</w:t>
      </w:r>
      <w:r>
        <w:rPr>
          <w:rFonts w:ascii="Times New Roman" w:hAnsi="Times New Roman"/>
        </w:rPr>
        <w:t xml:space="preserve"> (positif : témoin de contact avec le virus de l’hépatite B)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Charge virale VHB</w:t>
      </w:r>
    </w:p>
    <w:p>
      <w:pPr>
        <w:numPr>
          <w:ilvl w:val="1"/>
          <w:numId w:val="40"/>
        </w:numPr>
      </w:pPr>
      <w:r>
        <w:rPr>
          <w:rFonts w:ascii="Times New Roman" w:hAnsi="Times New Roman"/>
          <w:b/>
        </w:rPr>
        <w:t>Evaluation de la fibrose hépatique :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Ponction biopsie hépatique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Fibroactitest</w:t>
      </w:r>
      <w:r>
        <w:rPr>
          <w:rFonts w:ascii="Times New Roman" w:hAnsi="Times New Roman"/>
        </w:rPr>
        <w:t xml:space="preserve"> : analyse sanguine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Elastométrie</w:t>
      </w:r>
      <w:r>
        <w:rPr>
          <w:rFonts w:ascii="Times New Roman" w:hAnsi="Times New Roman"/>
        </w:rPr>
        <w:t xml:space="preserve"> = fibroscan</w:t>
      </w:r>
      <w:r>
        <w:rPr>
          <w:rFonts w:ascii="Times New Roman" w:hAnsi="Times New Roman"/>
        </w:rPr>
        <w:br/>
      </w:r>
    </w:p>
    <w:p>
      <w:pPr/>
      <w:r>
        <w:rPr>
          <w:rFonts w:ascii="Times New Roman" w:hAnsi="Times New Roman"/>
          <w:b/>
          <w:u w:val="single"/>
        </w:rPr>
        <w:t>Les situations :</w:t>
      </w:r>
    </w:p>
    <w:p>
      <w:pPr>
        <w:pStyle w:val="Heading6"/>
        <w:numPr>
          <w:ilvl w:val="0"/>
          <w:numId w:val="42"/>
        </w:numPr>
      </w:pPr>
      <w:r>
        <w:rPr>
          <w:rFonts w:ascii="Times New Roman" w:hAnsi="Times New Roman"/>
        </w:rPr>
        <w:t>Infection chronique par un virus sauvage :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 xml:space="preserve">Présence d’Ag 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 xml:space="preserve">Présence d’Ag </w:t>
      </w:r>
      <w:r>
        <w:rPr>
          <w:rFonts w:ascii="Times New Roman" w:hAnsi="Times New Roman"/>
        </w:rPr>
        <w:t>HBe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>Charge virale &gt; 10</w:t>
      </w:r>
      <w:r>
        <w:rPr>
          <w:rFonts w:ascii="Times New Roman" w:hAnsi="Times New Roman"/>
        </w:rPr>
        <w:t>7</w:t>
      </w:r>
      <w:r>
        <w:rPr>
          <w:rFonts w:ascii="Times New Roman" w:hAnsi="Times New Roman"/>
        </w:rPr>
        <w:t xml:space="preserve"> UI/ml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>ALAT : normal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>Pas de lésion hépatique ou lésion minime (</w:t>
      </w:r>
      <w:r>
        <w:rPr>
          <w:rFonts w:ascii="Times New Roman" w:hAnsi="Times New Roman"/>
          <w:i/>
        </w:rPr>
        <w:t>ex : type F1)</w:t>
      </w:r>
      <w:r>
        <w:rPr>
          <w:rFonts w:ascii="Times New Roman" w:hAnsi="Times New Roman"/>
          <w:i/>
        </w:rPr>
        <w:br/>
      </w:r>
    </w:p>
    <w:p>
      <w:pPr>
        <w:pStyle w:val="Heading6"/>
        <w:numPr>
          <w:ilvl w:val="0"/>
          <w:numId w:val="42"/>
        </w:numPr>
      </w:pPr>
      <w:r>
        <w:rPr>
          <w:rFonts w:ascii="Times New Roman" w:hAnsi="Times New Roman"/>
        </w:rPr>
        <w:t>Hépatite chronique par un virus sauvage :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 xml:space="preserve">Présence d’Ag 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 xml:space="preserve">Présence d’Ag </w:t>
      </w:r>
      <w:r>
        <w:rPr>
          <w:rFonts w:ascii="Times New Roman" w:hAnsi="Times New Roman"/>
        </w:rPr>
        <w:t>HBe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42"/>
        </w:numPr>
      </w:pPr>
      <w:r>
        <w:rPr>
          <w:rFonts w:ascii="Times New Roman" w:hAnsi="Times New Roman"/>
          <w:b/>
        </w:rPr>
        <w:t>Charge virale 10</w:t>
      </w:r>
      <w:r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- 10</w:t>
      </w:r>
      <w:r>
        <w:rPr>
          <w:rFonts w:ascii="Times New Roman" w:hAnsi="Times New Roman"/>
          <w:b/>
        </w:rPr>
        <w:t>7</w:t>
      </w:r>
      <w:r>
        <w:rPr>
          <w:rFonts w:ascii="Times New Roman" w:hAnsi="Times New Roman"/>
          <w:b/>
        </w:rPr>
        <w:t xml:space="preserve"> UI/ml</w:t>
      </w:r>
    </w:p>
    <w:p>
      <w:pPr>
        <w:numPr>
          <w:ilvl w:val="1"/>
          <w:numId w:val="42"/>
        </w:numPr>
      </w:pPr>
      <w:r>
        <w:rPr>
          <w:rFonts w:ascii="Times New Roman" w:hAnsi="Times New Roman"/>
          <w:b/>
        </w:rPr>
        <w:t>ALAT : augmentée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>Lésions hépatiques Modérées ou sévères (F2-F3, F4)</w:t>
      </w:r>
      <w:r>
        <w:rPr>
          <w:rFonts w:ascii="Times New Roman" w:hAnsi="Times New Roman"/>
        </w:rPr>
        <w:br/>
      </w:r>
    </w:p>
    <w:p>
      <w:pPr>
        <w:pStyle w:val="Heading6"/>
        <w:numPr>
          <w:ilvl w:val="0"/>
          <w:numId w:val="42"/>
        </w:numPr>
      </w:pPr>
      <w:r>
        <w:rPr>
          <w:rFonts w:ascii="Times New Roman" w:hAnsi="Times New Roman"/>
        </w:rPr>
        <w:t>Infection chronique par un virus mutant :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 xml:space="preserve">Présence d’Ag 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 xml:space="preserve">Pas d’Ag </w:t>
      </w:r>
      <w:r>
        <w:rPr>
          <w:rFonts w:ascii="Times New Roman" w:hAnsi="Times New Roman"/>
        </w:rPr>
        <w:t>HBe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>Présence d’Ac anti-</w:t>
      </w:r>
      <w:r>
        <w:rPr>
          <w:rFonts w:ascii="Times New Roman" w:hAnsi="Times New Roman"/>
        </w:rPr>
        <w:t>HBe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42"/>
        </w:numPr>
      </w:pPr>
      <w:r>
        <w:rPr>
          <w:rFonts w:ascii="Times New Roman" w:hAnsi="Times New Roman"/>
          <w:b/>
        </w:rPr>
        <w:t>Charge virale &lt; 2.000 UI/ml</w:t>
      </w:r>
    </w:p>
    <w:p>
      <w:pPr>
        <w:numPr>
          <w:ilvl w:val="1"/>
          <w:numId w:val="42"/>
        </w:numPr>
      </w:pPr>
      <w:r>
        <w:rPr>
          <w:rFonts w:ascii="Times New Roman" w:hAnsi="Times New Roman"/>
          <w:b/>
        </w:rPr>
        <w:t>ALAT : normale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>Pas de lésions hépatiques</w:t>
      </w:r>
      <w:r>
        <w:rPr>
          <w:rFonts w:ascii="Times New Roman" w:hAnsi="Times New Roman"/>
        </w:rPr>
        <w:br/>
      </w:r>
    </w:p>
    <w:p>
      <w:pPr>
        <w:pStyle w:val="Heading6"/>
        <w:numPr>
          <w:ilvl w:val="0"/>
          <w:numId w:val="42"/>
        </w:numPr>
      </w:pPr>
      <w:r>
        <w:rPr>
          <w:rFonts w:ascii="Times New Roman" w:hAnsi="Times New Roman"/>
        </w:rPr>
        <w:t>Hépatite chronique par un virus mutant :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 xml:space="preserve">Présence d’Ag </w:t>
      </w:r>
      <w:r>
        <w:rPr>
          <w:rFonts w:ascii="Times New Roman" w:hAnsi="Times New Roman"/>
        </w:rPr>
        <w:t>HBs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 xml:space="preserve">Pas d’Ag </w:t>
      </w:r>
      <w:r>
        <w:rPr>
          <w:rFonts w:ascii="Times New Roman" w:hAnsi="Times New Roman"/>
        </w:rPr>
        <w:t>HBe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42"/>
        </w:numPr>
      </w:pPr>
      <w:r>
        <w:rPr>
          <w:rFonts w:ascii="Times New Roman" w:hAnsi="Times New Roman"/>
          <w:b/>
        </w:rPr>
        <w:t>Charge virale &gt; 2.000UI/ml</w:t>
      </w:r>
    </w:p>
    <w:p>
      <w:pPr>
        <w:numPr>
          <w:ilvl w:val="1"/>
          <w:numId w:val="42"/>
        </w:numPr>
      </w:pPr>
      <w:r>
        <w:rPr>
          <w:rFonts w:ascii="Times New Roman" w:hAnsi="Times New Roman"/>
          <w:b/>
        </w:rPr>
        <w:t>ALAT : Elevée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>Lésions hépatiques : modérées ou sévères (F2 - F4)</w:t>
      </w:r>
    </w:p>
    <w:p>
      <w:pPr>
        <w:numPr>
          <w:ilvl w:val="1"/>
          <w:numId w:val="42"/>
        </w:numPr>
      </w:pPr>
      <w:r>
        <w:rPr>
          <w:rFonts w:ascii="Times New Roman" w:hAnsi="Times New Roman"/>
          <w:b/>
        </w:rPr>
        <w:t xml:space="preserve">= “hépatite chronique à Ag </w:t>
      </w:r>
      <w:r>
        <w:rPr>
          <w:rFonts w:ascii="Times New Roman" w:hAnsi="Times New Roman"/>
          <w:b/>
        </w:rPr>
        <w:t>HBe</w:t>
      </w:r>
      <w:r>
        <w:rPr>
          <w:rFonts w:ascii="Times New Roman" w:hAnsi="Times New Roman"/>
          <w:b/>
        </w:rPr>
        <w:t xml:space="preserve"> négatif”</w:t>
      </w:r>
      <w:r>
        <w:rPr>
          <w:rFonts w:ascii="Times New Roman" w:hAnsi="Times New Roman"/>
        </w:rPr>
      </w:r>
    </w:p>
    <w:p>
      <w:pPr/>
    </w:p>
    <w:p>
      <w:pPr>
        <w:pStyle w:val="Heading4"/>
        <w:numPr>
          <w:ilvl w:val="0"/>
          <w:numId w:val="46"/>
        </w:numPr>
      </w:pPr>
    </w:p>
    <w:p>
      <w:pPr>
        <w:numPr>
          <w:ilvl w:val="0"/>
          <w:numId w:val="46"/>
        </w:numPr>
      </w:pPr>
    </w:p>
    <w:p>
      <w:pPr>
        <w:pStyle w:val="Heading4"/>
        <w:numPr>
          <w:ilvl w:val="0"/>
          <w:numId w:val="46"/>
        </w:numPr>
      </w:pPr>
      <w:r>
        <w:rPr>
          <w:rFonts w:ascii="Times New Roman" w:hAnsi="Times New Roman"/>
        </w:rPr>
        <w:t>Formes selon la gravité :</w:t>
      </w:r>
    </w:p>
    <w:p>
      <w:pPr>
        <w:pStyle w:val="Heading5"/>
      </w:pPr>
      <w:r>
        <w:rPr>
          <w:rFonts w:ascii="Times New Roman" w:hAnsi="Times New Roman"/>
        </w:rPr>
        <w:t>Hépatite fulminante</w:t>
      </w:r>
    </w:p>
    <w:p>
      <w:pPr>
        <w:numPr>
          <w:ilvl w:val="0"/>
          <w:numId w:val="43"/>
        </w:numPr>
      </w:pPr>
      <w:r>
        <w:rPr>
          <w:rFonts w:ascii="Times New Roman" w:hAnsi="Times New Roman"/>
        </w:rPr>
        <w:t>Forme gravissime évoluant très vite vers le décès (une semaine à 10j)</w:t>
      </w:r>
    </w:p>
    <w:p>
      <w:pPr>
        <w:numPr>
          <w:ilvl w:val="0"/>
          <w:numId w:val="43"/>
        </w:numPr>
      </w:pPr>
      <w:r>
        <w:rPr>
          <w:rFonts w:ascii="Times New Roman" w:hAnsi="Times New Roman"/>
          <w:b/>
        </w:rPr>
        <w:t>Signes d’alarmes :</w:t>
      </w:r>
    </w:p>
    <w:p>
      <w:pPr>
        <w:numPr>
          <w:ilvl w:val="1"/>
          <w:numId w:val="43"/>
        </w:numPr>
      </w:pPr>
      <w:r>
        <w:rPr>
          <w:rFonts w:ascii="Times New Roman" w:hAnsi="Times New Roman"/>
          <w:b/>
        </w:rPr>
        <w:t>Signes cliniques :</w:t>
      </w:r>
    </w:p>
    <w:p>
      <w:pPr>
        <w:numPr>
          <w:ilvl w:val="2"/>
          <w:numId w:val="43"/>
        </w:numPr>
      </w:pPr>
      <w:r>
        <w:rPr>
          <w:rFonts w:ascii="Times New Roman" w:hAnsi="Times New Roman"/>
        </w:rPr>
        <w:t>Asthénie (</w:t>
      </w:r>
      <w:r>
        <w:rPr>
          <w:rFonts w:ascii="Times New Roman" w:hAnsi="Times New Roman"/>
          <w:i/>
        </w:rPr>
        <w:t>qui s’aggrave)</w:t>
      </w:r>
    </w:p>
    <w:p>
      <w:pPr>
        <w:numPr>
          <w:ilvl w:val="2"/>
          <w:numId w:val="43"/>
        </w:numPr>
      </w:pPr>
      <w:r>
        <w:rPr>
          <w:rFonts w:ascii="Times New Roman" w:hAnsi="Times New Roman"/>
          <w:b/>
        </w:rPr>
        <w:t>Encéphalopathie (</w:t>
      </w:r>
      <w:r>
        <w:rPr>
          <w:rFonts w:ascii="Times New Roman" w:hAnsi="Times New Roman"/>
          <w:i/>
        </w:rPr>
        <w:t>Confusion : DTS)</w:t>
      </w:r>
    </w:p>
    <w:p>
      <w:pPr>
        <w:numPr>
          <w:ilvl w:val="2"/>
          <w:numId w:val="43"/>
        </w:numPr>
      </w:pPr>
      <w:r>
        <w:rPr>
          <w:rFonts w:ascii="Times New Roman" w:hAnsi="Times New Roman"/>
          <w:b/>
        </w:rPr>
        <w:t>Syndrome hémorragique (</w:t>
      </w:r>
      <w:r>
        <w:rPr>
          <w:rFonts w:ascii="Times New Roman" w:hAnsi="Times New Roman"/>
          <w:i/>
        </w:rPr>
        <w:t>épistaxis, gingivorragie, purpura, etc.)</w:t>
      </w:r>
    </w:p>
    <w:p>
      <w:pPr>
        <w:numPr>
          <w:ilvl w:val="1"/>
          <w:numId w:val="43"/>
        </w:numPr>
      </w:pPr>
      <w:r>
        <w:rPr>
          <w:rFonts w:ascii="Times New Roman" w:hAnsi="Times New Roman"/>
          <w:b/>
        </w:rPr>
        <w:t xml:space="preserve">Signes paracliniques : </w:t>
      </w:r>
      <w:r>
        <w:rPr>
          <w:rFonts w:ascii="Times New Roman" w:hAnsi="Times New Roman"/>
        </w:rPr>
        <w:t>diminution du TP et surtout diminution du facteur V &lt; 50%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br/>
      </w:r>
    </w:p>
    <w:p>
      <w:pPr>
        <w:numPr>
          <w:ilvl w:val="0"/>
          <w:numId w:val="43"/>
        </w:numPr>
      </w:pPr>
      <w:r>
        <w:rPr>
          <w:rFonts w:ascii="Times New Roman" w:hAnsi="Times New Roman"/>
          <w:b/>
        </w:rPr>
        <w:t>ETIOLOGIES :</w:t>
      </w:r>
    </w:p>
    <w:p>
      <w:pPr>
        <w:numPr>
          <w:ilvl w:val="1"/>
          <w:numId w:val="43"/>
        </w:numPr>
      </w:pPr>
      <w:r>
        <w:rPr>
          <w:rFonts w:ascii="Times New Roman" w:hAnsi="Times New Roman"/>
          <w:b/>
        </w:rPr>
        <w:t xml:space="preserve">Médicaments : </w:t>
      </w:r>
      <w:r>
        <w:rPr>
          <w:rFonts w:ascii="Times New Roman" w:hAnsi="Times New Roman"/>
          <w:b/>
          <w:u w:val="single"/>
        </w:rPr>
        <w:t>paracétamol ++</w:t>
      </w:r>
      <w:r>
        <w:rPr>
          <w:rFonts w:ascii="Times New Roman" w:hAnsi="Times New Roman"/>
        </w:rPr>
      </w:r>
      <w:r>
        <w:rPr>
          <w:rFonts w:ascii="Times New Roman" w:hAnsi="Times New Roman"/>
          <w:b/>
          <w:u w:val="single"/>
        </w:rPr>
        <w:t>,</w:t>
      </w:r>
      <w:r>
        <w:rPr>
          <w:rFonts w:ascii="Times New Roman" w:hAnsi="Times New Roman"/>
          <w:b/>
          <w:u w:val="single"/>
        </w:rPr>
        <w:t xml:space="preserve"> </w:t>
      </w:r>
      <w:r>
        <w:rPr>
          <w:rFonts w:ascii="Times New Roman" w:hAnsi="Times New Roman"/>
          <w:b/>
          <w:u w:val="single"/>
        </w:rPr>
        <w:t xml:space="preserve"> </w:t>
      </w:r>
      <w:r>
        <w:rPr>
          <w:rFonts w:ascii="Times New Roman" w:hAnsi="Times New Roman"/>
        </w:rPr>
        <w:t>AINS</w:t>
      </w:r>
    </w:p>
    <w:p>
      <w:pPr>
        <w:numPr>
          <w:ilvl w:val="1"/>
          <w:numId w:val="43"/>
        </w:numPr>
      </w:pPr>
      <w:r>
        <w:rPr>
          <w:rFonts w:ascii="Times New Roman" w:hAnsi="Times New Roman"/>
        </w:rPr>
        <w:t xml:space="preserve">Autres hépatites virales (VHA, VHC, EBV, ...) : </w:t>
      </w:r>
      <w:r>
        <w:rPr>
          <w:rFonts w:ascii="Times New Roman" w:hAnsi="Times New Roman"/>
          <w:i/>
        </w:rPr>
        <w:t>co-infection</w:t>
      </w:r>
    </w:p>
    <w:p>
      <w:pPr>
        <w:numPr>
          <w:ilvl w:val="1"/>
          <w:numId w:val="43"/>
        </w:numPr>
      </w:pPr>
      <w:r>
        <w:rPr>
          <w:rFonts w:ascii="Times New Roman" w:hAnsi="Times New Roman"/>
        </w:rPr>
        <w:t xml:space="preserve">Toxique : </w:t>
      </w:r>
      <w:r>
        <w:rPr>
          <w:rFonts w:ascii="Times New Roman" w:hAnsi="Times New Roman"/>
        </w:rPr>
        <w:t>ecstasy</w:t>
      </w:r>
      <w:r>
        <w:rPr>
          <w:rFonts w:ascii="Times New Roman" w:hAnsi="Times New Roman"/>
        </w:rPr>
        <w:t>, cocaïne</w:t>
      </w:r>
    </w:p>
    <w:p>
      <w:pPr>
        <w:numPr>
          <w:ilvl w:val="1"/>
          <w:numId w:val="43"/>
        </w:numPr>
      </w:pPr>
      <w:r>
        <w:rPr>
          <w:rFonts w:ascii="Times New Roman" w:hAnsi="Times New Roman"/>
        </w:rPr>
        <w:t>Exacerbation des autres hépatites (hépatite auto-immune, maladie de Wilson, ...)</w:t>
      </w:r>
      <w:r>
        <w:rPr>
          <w:rFonts w:ascii="Times New Roman" w:hAnsi="Times New Roman"/>
        </w:rPr>
        <w:br/>
      </w:r>
    </w:p>
    <w:p>
      <w:pPr>
        <w:numPr>
          <w:ilvl w:val="0"/>
          <w:numId w:val="43"/>
        </w:numPr>
      </w:pPr>
      <w:r>
        <w:rPr>
          <w:rFonts w:ascii="Times New Roman" w:hAnsi="Times New Roman"/>
          <w:b/>
        </w:rPr>
        <w:t xml:space="preserve">PRONOSTIC : </w:t>
      </w:r>
    </w:p>
    <w:p>
      <w:pPr>
        <w:numPr>
          <w:ilvl w:val="1"/>
          <w:numId w:val="43"/>
        </w:numPr>
      </w:pPr>
      <w:r>
        <w:rPr>
          <w:rFonts w:ascii="Times New Roman" w:hAnsi="Times New Roman"/>
        </w:rPr>
        <w:t>Mortalité : 90%</w:t>
      </w:r>
      <w:r>
        <w:rPr>
          <w:rFonts w:ascii="Times New Roman" w:hAnsi="Times New Roman"/>
        </w:rPr>
        <w:br/>
      </w:r>
    </w:p>
    <w:p>
      <w:pPr/>
    </w:p>
    <w:p>
      <w:pPr>
        <w:pStyle w:val="Heading4"/>
        <w:numPr>
          <w:ilvl w:val="0"/>
          <w:numId w:val="47"/>
        </w:numPr>
      </w:pPr>
    </w:p>
    <w:p>
      <w:pPr>
        <w:numPr>
          <w:ilvl w:val="0"/>
          <w:numId w:val="47"/>
        </w:numPr>
      </w:pPr>
    </w:p>
    <w:p>
      <w:pPr>
        <w:numPr>
          <w:ilvl w:val="0"/>
          <w:numId w:val="47"/>
        </w:numPr>
      </w:pPr>
    </w:p>
    <w:p>
      <w:pPr>
        <w:pStyle w:val="Heading4"/>
        <w:numPr>
          <w:ilvl w:val="0"/>
          <w:numId w:val="47"/>
        </w:numPr>
      </w:pPr>
      <w:r>
        <w:rPr>
          <w:rFonts w:ascii="Times New Roman" w:hAnsi="Times New Roman"/>
        </w:rPr>
        <w:t>Formes selon le virus</w:t>
      </w:r>
    </w:p>
    <w:p>
      <w:pPr>
        <w:pStyle w:val="Heading5"/>
        <w:numPr>
          <w:ilvl w:val="0"/>
          <w:numId w:val="48"/>
        </w:numPr>
      </w:pPr>
      <w:r>
        <w:rPr>
          <w:rFonts w:ascii="Times New Roman" w:hAnsi="Times New Roman"/>
        </w:rPr>
        <w:t>HVA :</w:t>
      </w:r>
    </w:p>
    <w:p>
      <w:pPr>
        <w:numPr>
          <w:ilvl w:val="1"/>
          <w:numId w:val="48"/>
        </w:numPr>
      </w:pPr>
      <w:r>
        <w:rPr>
          <w:rFonts w:ascii="Times New Roman" w:hAnsi="Times New Roman"/>
        </w:rPr>
        <w:t>Incubation : 2 semaines à 2 mois (</w:t>
      </w:r>
      <w:r>
        <w:rPr>
          <w:rFonts w:ascii="Times New Roman" w:hAnsi="Times New Roman"/>
          <w:i/>
        </w:rPr>
        <w:t>tableau clinique idem HVB : 3 phases)</w:t>
      </w:r>
    </w:p>
    <w:p>
      <w:pPr>
        <w:numPr>
          <w:ilvl w:val="1"/>
          <w:numId w:val="48"/>
        </w:numPr>
      </w:pPr>
      <w:r>
        <w:rPr>
          <w:rFonts w:ascii="Times New Roman" w:hAnsi="Times New Roman"/>
        </w:rPr>
        <w:t xml:space="preserve">Diagnostic :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anti-VHA : </w:t>
      </w:r>
      <w:r>
        <w:rPr>
          <w:rFonts w:ascii="Times New Roman" w:hAnsi="Times New Roman"/>
          <w:b/>
        </w:rPr>
        <w:t>IgM anti-VHA</w:t>
      </w:r>
    </w:p>
    <w:p>
      <w:pPr>
        <w:numPr>
          <w:ilvl w:val="1"/>
          <w:numId w:val="48"/>
        </w:numPr>
      </w:pPr>
      <w:r>
        <w:rPr>
          <w:rFonts w:ascii="Times New Roman" w:hAnsi="Times New Roman"/>
          <w:b/>
        </w:rPr>
        <w:t>Jamais d’évolution vers la chronicité</w:t>
      </w:r>
    </w:p>
    <w:p>
      <w:pPr>
        <w:numPr>
          <w:ilvl w:val="1"/>
          <w:numId w:val="48"/>
        </w:numPr>
      </w:pPr>
      <w:r>
        <w:rPr>
          <w:rFonts w:ascii="Times New Roman" w:hAnsi="Times New Roman"/>
        </w:rPr>
        <w:t>Hépatite fulminante : rare</w:t>
      </w:r>
    </w:p>
    <w:p>
      <w:pPr>
        <w:numPr>
          <w:ilvl w:val="1"/>
          <w:numId w:val="48"/>
        </w:numPr>
      </w:pPr>
      <w:r>
        <w:rPr>
          <w:rFonts w:ascii="Times New Roman" w:hAnsi="Times New Roman"/>
        </w:rPr>
        <w:t>Plus de la moitié de la population des PED ont déjà eu un contact avec le VHA</w:t>
      </w:r>
      <w:r>
        <w:rPr>
          <w:rFonts w:ascii="Times New Roman" w:hAnsi="Times New Roman"/>
        </w:rPr>
      </w:r>
    </w:p>
    <w:p>
      <w:pPr/>
    </w:p>
    <w:p>
      <w:pPr>
        <w:pStyle w:val="Heading5"/>
        <w:numPr>
          <w:ilvl w:val="0"/>
          <w:numId w:val="48"/>
        </w:numPr>
      </w:pPr>
      <w:r>
        <w:rPr>
          <w:rFonts w:ascii="Times New Roman" w:hAnsi="Times New Roman"/>
        </w:rPr>
        <w:t>HVC</w:t>
      </w:r>
    </w:p>
    <w:p>
      <w:pPr>
        <w:numPr>
          <w:ilvl w:val="0"/>
          <w:numId w:val="49"/>
        </w:numPr>
      </w:pPr>
      <w:r>
        <w:rPr>
          <w:rFonts w:ascii="Times New Roman" w:hAnsi="Times New Roman"/>
        </w:rPr>
        <w:t>Incubation : 4 semaines à 4 mois</w:t>
      </w:r>
    </w:p>
    <w:p>
      <w:pPr>
        <w:numPr>
          <w:ilvl w:val="0"/>
          <w:numId w:val="49"/>
        </w:numPr>
      </w:pPr>
      <w:r>
        <w:rPr>
          <w:rFonts w:ascii="Times New Roman" w:hAnsi="Times New Roman"/>
          <w:b/>
        </w:rPr>
        <w:t>Evolue de façon asymptomatique dans 90% des cas</w:t>
      </w:r>
    </w:p>
    <w:p>
      <w:pPr>
        <w:numPr>
          <w:ilvl w:val="0"/>
          <w:numId w:val="49"/>
        </w:numPr>
      </w:pPr>
      <w:r>
        <w:rPr>
          <w:rFonts w:ascii="Times New Roman" w:hAnsi="Times New Roman"/>
        </w:rPr>
        <w:t xml:space="preserve">Hépatite aiguë : </w:t>
      </w:r>
      <w:r>
        <w:rPr>
          <w:rFonts w:ascii="Times New Roman" w:hAnsi="Times New Roman"/>
          <w:i/>
        </w:rPr>
        <w:t>rare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>Se passe de façon inaperçue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>Transaminases : normales</w:t>
      </w:r>
    </w:p>
    <w:p>
      <w:pPr>
        <w:numPr>
          <w:ilvl w:val="0"/>
          <w:numId w:val="49"/>
        </w:numPr>
      </w:pPr>
      <w:r>
        <w:rPr>
          <w:rFonts w:ascii="Times New Roman" w:hAnsi="Times New Roman"/>
          <w:b/>
        </w:rPr>
        <w:t>Diagnostic :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 xml:space="preserve">Recherche des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anti-VHC : positif</w:t>
      </w:r>
    </w:p>
    <w:p>
      <w:pPr>
        <w:numPr>
          <w:ilvl w:val="1"/>
          <w:numId w:val="49"/>
        </w:numPr>
      </w:pPr>
      <w:r>
        <w:rPr>
          <w:rFonts w:ascii="Times New Roman" w:hAnsi="Times New Roman"/>
          <w:b/>
        </w:rPr>
        <w:t xml:space="preserve">Charge virale de VHC : </w:t>
      </w:r>
      <w:r>
        <w:rPr>
          <w:rFonts w:ascii="Times New Roman" w:hAnsi="Times New Roman"/>
        </w:rPr>
        <w:t>recherche de l’ARN de VHC (</w:t>
      </w:r>
      <w:r>
        <w:rPr>
          <w:rFonts w:ascii="Times New Roman" w:hAnsi="Times New Roman"/>
          <w:i/>
        </w:rPr>
        <w:t>si sérologie positive)</w:t>
      </w:r>
    </w:p>
    <w:p>
      <w:pPr>
        <w:numPr>
          <w:ilvl w:val="0"/>
          <w:numId w:val="49"/>
        </w:numPr>
      </w:pPr>
      <w:r>
        <w:rPr>
          <w:rFonts w:ascii="Times New Roman" w:hAnsi="Times New Roman"/>
        </w:rPr>
        <w:t>HVC : évolution vers la chronicité dans 50 - 80% des cas</w:t>
      </w:r>
    </w:p>
    <w:p>
      <w:pPr>
        <w:numPr>
          <w:ilvl w:val="0"/>
          <w:numId w:val="49"/>
        </w:numPr>
      </w:pPr>
      <w:r>
        <w:rPr>
          <w:rFonts w:ascii="Times New Roman" w:hAnsi="Times New Roman"/>
          <w:b/>
        </w:rPr>
        <w:t>Pas d’hépatite fulminante</w:t>
      </w:r>
    </w:p>
    <w:p>
      <w:pPr/>
    </w:p>
    <w:p>
      <w:pPr>
        <w:pStyle w:val="Heading5"/>
        <w:numPr>
          <w:ilvl w:val="0"/>
          <w:numId w:val="50"/>
        </w:numPr>
      </w:pPr>
    </w:p>
    <w:p>
      <w:pPr>
        <w:numPr>
          <w:ilvl w:val="0"/>
          <w:numId w:val="50"/>
        </w:numPr>
      </w:pPr>
    </w:p>
    <w:p>
      <w:pPr>
        <w:pStyle w:val="Heading5"/>
        <w:numPr>
          <w:ilvl w:val="0"/>
          <w:numId w:val="50"/>
        </w:numPr>
      </w:pPr>
      <w:r>
        <w:rPr>
          <w:rFonts w:ascii="Times New Roman" w:hAnsi="Times New Roman"/>
        </w:rPr>
        <w:t>HVD</w:t>
      </w:r>
    </w:p>
    <w:p>
      <w:pPr>
        <w:numPr>
          <w:ilvl w:val="1"/>
          <w:numId w:val="50"/>
        </w:numPr>
      </w:pPr>
      <w:r>
        <w:rPr>
          <w:rFonts w:ascii="Times New Roman" w:hAnsi="Times New Roman"/>
        </w:rPr>
        <w:t>Ne peut exister sans HVB</w:t>
      </w:r>
    </w:p>
    <w:p>
      <w:pPr>
        <w:numPr>
          <w:ilvl w:val="1"/>
          <w:numId w:val="50"/>
        </w:numPr>
      </w:pPr>
      <w:r>
        <w:rPr>
          <w:rFonts w:ascii="Times New Roman" w:hAnsi="Times New Roman"/>
          <w:b/>
        </w:rPr>
        <w:t xml:space="preserve">Diagnostic : </w:t>
      </w:r>
    </w:p>
    <w:p>
      <w:pPr>
        <w:numPr>
          <w:ilvl w:val="2"/>
          <w:numId w:val="50"/>
        </w:numPr>
      </w:pPr>
      <w:r>
        <w:rPr>
          <w:rFonts w:ascii="Times New Roman" w:hAnsi="Times New Roman"/>
          <w:u w:val="single"/>
        </w:rPr>
        <w:t>IgM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anti-VHD</w:t>
      </w:r>
    </w:p>
    <w:p>
      <w:pPr>
        <w:numPr>
          <w:ilvl w:val="2"/>
          <w:numId w:val="50"/>
        </w:numPr>
      </w:pPr>
      <w:r>
        <w:rPr>
          <w:rFonts w:ascii="Times New Roman" w:hAnsi="Times New Roman"/>
        </w:rPr>
        <w:t>Ag VHD : Ag delta</w:t>
      </w:r>
    </w:p>
    <w:p>
      <w:pPr>
        <w:numPr>
          <w:ilvl w:val="2"/>
          <w:numId w:val="50"/>
        </w:numPr>
      </w:pPr>
      <w:r>
        <w:rPr>
          <w:rFonts w:ascii="Times New Roman" w:hAnsi="Times New Roman"/>
        </w:rPr>
        <w:t>ARN VHD</w:t>
      </w:r>
    </w:p>
    <w:p>
      <w:pPr>
        <w:numPr>
          <w:ilvl w:val="1"/>
          <w:numId w:val="50"/>
        </w:numPr>
      </w:pPr>
      <w:r>
        <w:rPr>
          <w:rFonts w:ascii="Times New Roman" w:hAnsi="Times New Roman"/>
        </w:rPr>
        <w:t>En cas de co-infection : risque d’hépatite fulminante</w:t>
      </w:r>
    </w:p>
    <w:p>
      <w:pPr>
        <w:numPr>
          <w:ilvl w:val="1"/>
          <w:numId w:val="50"/>
        </w:numPr>
      </w:pPr>
      <w:r>
        <w:rPr>
          <w:rFonts w:ascii="Times New Roman" w:hAnsi="Times New Roman"/>
        </w:rPr>
        <w:t xml:space="preserve">En cas de </w:t>
      </w:r>
      <w:r>
        <w:rPr>
          <w:rFonts w:ascii="Times New Roman" w:hAnsi="Times New Roman"/>
          <w:b/>
        </w:rPr>
        <w:t xml:space="preserve">surinfection sur HVB : </w:t>
      </w:r>
      <w:r>
        <w:rPr>
          <w:rFonts w:ascii="Times New Roman" w:hAnsi="Times New Roman"/>
        </w:rPr>
        <w:t>augmentation du risque de passage à la chronicité à 90%</w:t>
      </w:r>
    </w:p>
    <w:p>
      <w:pPr/>
    </w:p>
    <w:p>
      <w:pPr>
        <w:pStyle w:val="Heading5"/>
        <w:numPr>
          <w:ilvl w:val="0"/>
          <w:numId w:val="52"/>
        </w:numPr>
      </w:pPr>
    </w:p>
    <w:p>
      <w:pPr>
        <w:numPr>
          <w:ilvl w:val="0"/>
          <w:numId w:val="52"/>
        </w:numPr>
      </w:pPr>
    </w:p>
    <w:p>
      <w:pPr>
        <w:numPr>
          <w:ilvl w:val="0"/>
          <w:numId w:val="52"/>
        </w:numPr>
      </w:pPr>
    </w:p>
    <w:p>
      <w:pPr>
        <w:pStyle w:val="Heading5"/>
        <w:numPr>
          <w:ilvl w:val="0"/>
          <w:numId w:val="52"/>
        </w:numPr>
      </w:pPr>
      <w:r>
        <w:rPr>
          <w:rFonts w:ascii="Times New Roman" w:hAnsi="Times New Roman"/>
        </w:rPr>
        <w:t>HVE :</w:t>
      </w:r>
    </w:p>
    <w:p>
      <w:pPr>
        <w:numPr>
          <w:ilvl w:val="0"/>
          <w:numId w:val="51"/>
        </w:numPr>
      </w:pPr>
      <w:r>
        <w:rPr>
          <w:rFonts w:ascii="Times New Roman" w:hAnsi="Times New Roman"/>
        </w:rPr>
        <w:t>Incubation : 2 - 5 semaines</w:t>
      </w:r>
    </w:p>
    <w:p>
      <w:pPr>
        <w:numPr>
          <w:ilvl w:val="0"/>
          <w:numId w:val="51"/>
        </w:numPr>
      </w:pPr>
      <w:r>
        <w:rPr>
          <w:rFonts w:ascii="Times New Roman" w:hAnsi="Times New Roman"/>
          <w:b/>
        </w:rPr>
        <w:t>Hépatite aiguë par VHE</w:t>
      </w:r>
    </w:p>
    <w:p>
      <w:pPr>
        <w:numPr>
          <w:ilvl w:val="1"/>
          <w:numId w:val="51"/>
        </w:numPr>
      </w:pPr>
      <w:r>
        <w:rPr>
          <w:rFonts w:ascii="Times New Roman" w:hAnsi="Times New Roman"/>
        </w:rPr>
        <w:t>Paucisymptomatique</w:t>
      </w:r>
      <w:r>
        <w:rPr>
          <w:rFonts w:ascii="Times New Roman" w:hAnsi="Times New Roman"/>
        </w:rPr>
        <w:t xml:space="preserve"> dans 90% des cas</w:t>
      </w:r>
    </w:p>
    <w:p>
      <w:pPr>
        <w:numPr>
          <w:ilvl w:val="1"/>
          <w:numId w:val="51"/>
        </w:numPr>
      </w:pPr>
      <w:r>
        <w:rPr>
          <w:rFonts w:ascii="Times New Roman" w:hAnsi="Times New Roman"/>
        </w:rPr>
        <w:t xml:space="preserve">Tableau d’hépatite </w:t>
      </w:r>
      <w:r>
        <w:rPr>
          <w:rFonts w:ascii="Times New Roman" w:hAnsi="Times New Roman"/>
          <w:i/>
        </w:rPr>
        <w:t>comparable à celui de VHB : tableau classique</w:t>
      </w:r>
    </w:p>
    <w:p>
      <w:pPr>
        <w:numPr>
          <w:ilvl w:val="1"/>
          <w:numId w:val="51"/>
        </w:numPr>
      </w:pPr>
      <w:r>
        <w:rPr>
          <w:rFonts w:ascii="Times New Roman" w:hAnsi="Times New Roman"/>
        </w:rPr>
        <w:t xml:space="preserve">Attention aux </w:t>
      </w:r>
      <w:r>
        <w:rPr>
          <w:rFonts w:ascii="Times New Roman" w:hAnsi="Times New Roman"/>
          <w:b/>
        </w:rPr>
        <w:t>manifestations neurologiques :</w:t>
      </w:r>
    </w:p>
    <w:p>
      <w:pPr>
        <w:numPr>
          <w:ilvl w:val="2"/>
          <w:numId w:val="51"/>
        </w:numPr>
      </w:pPr>
      <w:r>
        <w:rPr>
          <w:rFonts w:ascii="Times New Roman" w:hAnsi="Times New Roman"/>
        </w:rPr>
        <w:t>Mononeuropathie</w:t>
      </w:r>
      <w:r>
        <w:rPr>
          <w:rFonts w:ascii="Times New Roman" w:hAnsi="Times New Roman"/>
        </w:rPr>
        <w:t xml:space="preserve"> multiple</w:t>
      </w:r>
    </w:p>
    <w:p>
      <w:pPr>
        <w:numPr>
          <w:ilvl w:val="2"/>
          <w:numId w:val="51"/>
        </w:numPr>
      </w:pPr>
      <w:r>
        <w:rPr>
          <w:rFonts w:ascii="Times New Roman" w:hAnsi="Times New Roman"/>
        </w:rPr>
        <w:t>Méningoradiculite</w:t>
      </w:r>
    </w:p>
    <w:p>
      <w:pPr>
        <w:numPr>
          <w:ilvl w:val="2"/>
          <w:numId w:val="51"/>
        </w:numPr>
      </w:pPr>
      <w:r>
        <w:rPr>
          <w:rFonts w:ascii="Times New Roman" w:hAnsi="Times New Roman"/>
        </w:rPr>
        <w:t>Syndrome de Guillain-Barré</w:t>
      </w:r>
    </w:p>
    <w:p>
      <w:pPr>
        <w:numPr>
          <w:ilvl w:val="2"/>
          <w:numId w:val="51"/>
        </w:numPr>
      </w:pPr>
      <w:r>
        <w:rPr>
          <w:rFonts w:ascii="Times New Roman" w:hAnsi="Times New Roman"/>
        </w:rPr>
        <w:t xml:space="preserve">Syndrome de </w:t>
      </w:r>
      <w:r>
        <w:rPr>
          <w:rFonts w:ascii="Times New Roman" w:hAnsi="Times New Roman"/>
        </w:rPr>
        <w:t>Personnage</w:t>
      </w:r>
      <w:r>
        <w:rPr>
          <w:rFonts w:ascii="Times New Roman" w:hAnsi="Times New Roman"/>
        </w:rPr>
        <w:t xml:space="preserve"> Turner (névralgie </w:t>
      </w:r>
      <w:r>
        <w:rPr>
          <w:rFonts w:ascii="Times New Roman" w:hAnsi="Times New Roman"/>
        </w:rPr>
        <w:t>amyotrophies</w:t>
      </w:r>
      <w:r>
        <w:rPr>
          <w:rFonts w:ascii="Times New Roman" w:hAnsi="Times New Roman"/>
        </w:rPr>
        <w:t xml:space="preserve"> de l’épaule)</w:t>
      </w:r>
    </w:p>
    <w:p>
      <w:pPr>
        <w:numPr>
          <w:ilvl w:val="0"/>
          <w:numId w:val="51"/>
        </w:numPr>
      </w:pPr>
      <w:r>
        <w:rPr>
          <w:rFonts w:ascii="Times New Roman" w:hAnsi="Times New Roman"/>
          <w:b/>
        </w:rPr>
        <w:t>Diagnostic :</w:t>
      </w:r>
    </w:p>
    <w:p>
      <w:pPr>
        <w:numPr>
          <w:ilvl w:val="1"/>
          <w:numId w:val="51"/>
        </w:numPr>
      </w:pPr>
      <w:r>
        <w:rPr>
          <w:rFonts w:ascii="Times New Roman" w:hAnsi="Times New Roman"/>
          <w:b/>
        </w:rPr>
        <w:t>Directe :</w:t>
      </w:r>
    </w:p>
    <w:p>
      <w:pPr>
        <w:numPr>
          <w:ilvl w:val="2"/>
          <w:numId w:val="51"/>
        </w:numPr>
      </w:pPr>
      <w:r>
        <w:rPr>
          <w:rFonts w:ascii="Times New Roman" w:hAnsi="Times New Roman"/>
          <w:b/>
        </w:rPr>
        <w:t>PCR (sang et selles)</w:t>
      </w:r>
      <w:r>
        <w:rPr>
          <w:rFonts w:ascii="Times New Roman" w:hAnsi="Times New Roman"/>
        </w:rPr>
        <w:t xml:space="preserve"> : VHE (</w:t>
      </w:r>
      <w:r>
        <w:rPr>
          <w:rFonts w:ascii="Times New Roman" w:hAnsi="Times New Roman"/>
          <w:i/>
        </w:rPr>
        <w:t xml:space="preserve">réservé aux </w:t>
      </w:r>
      <w:r>
        <w:rPr>
          <w:rFonts w:ascii="Times New Roman" w:hAnsi="Times New Roman"/>
        </w:rPr>
        <w:t>immunodéprimés)</w:t>
      </w:r>
    </w:p>
    <w:p>
      <w:pPr>
        <w:numPr>
          <w:ilvl w:val="1"/>
          <w:numId w:val="51"/>
        </w:numPr>
      </w:pPr>
      <w:r>
        <w:rPr>
          <w:rFonts w:ascii="Times New Roman" w:hAnsi="Times New Roman"/>
          <w:b/>
        </w:rPr>
        <w:t>Indirecte :</w:t>
      </w:r>
    </w:p>
    <w:p>
      <w:pPr>
        <w:numPr>
          <w:ilvl w:val="2"/>
          <w:numId w:val="51"/>
        </w:numPr>
      </w:pPr>
      <w:r>
        <w:rPr>
          <w:rFonts w:ascii="Times New Roman" w:hAnsi="Times New Roman"/>
          <w:b/>
        </w:rPr>
        <w:t xml:space="preserve">IgM anti-VHE : </w:t>
      </w:r>
      <w:r>
        <w:rPr>
          <w:rFonts w:ascii="Times New Roman" w:hAnsi="Times New Roman"/>
        </w:rPr>
        <w:t>suffisant (immunocompétents)</w:t>
      </w:r>
      <w:r>
        <w:rPr>
          <w:rFonts w:ascii="Times New Roman" w:hAnsi="Times New Roman"/>
        </w:rPr>
      </w:r>
    </w:p>
    <w:p>
      <w:pPr>
        <w:numPr>
          <w:ilvl w:val="2"/>
          <w:numId w:val="51"/>
        </w:numPr>
      </w:pPr>
      <w:r>
        <w:rPr>
          <w:rFonts w:ascii="Times New Roman" w:hAnsi="Times New Roman"/>
        </w:rPr>
        <w:t>IgG anti-VHE</w:t>
      </w:r>
    </w:p>
    <w:p>
      <w:pPr>
        <w:numPr>
          <w:ilvl w:val="0"/>
          <w:numId w:val="51"/>
        </w:numPr>
      </w:pPr>
      <w:r>
        <w:rPr>
          <w:rFonts w:ascii="Times New Roman" w:hAnsi="Times New Roman"/>
        </w:rPr>
        <w:t>Evolution : favorable en 3-5 semaines</w:t>
      </w:r>
    </w:p>
    <w:p>
      <w:pPr>
        <w:numPr>
          <w:ilvl w:val="1"/>
          <w:numId w:val="51"/>
        </w:numPr>
      </w:pPr>
      <w:r>
        <w:rPr>
          <w:rFonts w:ascii="Times New Roman" w:hAnsi="Times New Roman"/>
        </w:rPr>
        <w:t xml:space="preserve">Forme chronique chez les immunodéprimés </w:t>
      </w:r>
    </w:p>
    <w:p>
      <w:pPr>
        <w:numPr>
          <w:ilvl w:val="2"/>
          <w:numId w:val="51"/>
        </w:numPr>
      </w:pPr>
      <w:r>
        <w:rPr>
          <w:rFonts w:ascii="Times New Roman" w:hAnsi="Times New Roman"/>
        </w:rPr>
        <w:t>Evolution vers la cirrhose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