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HYPERTENSION PORTALE(HTP)</w:t>
      </w:r>
    </w:p>
    <w:p>
      <w:pPr>
        <w:pStyle w:val="Heading2"/>
      </w:pPr>
      <w:r>
        <w:rPr>
          <w:rFonts w:ascii="Times New Roman" w:hAnsi="Times New Roman"/>
        </w:rPr>
        <w:t>Objectif</w:t>
      </w:r>
    </w:p>
    <w:p>
      <w:pPr>
        <w:numPr>
          <w:ilvl w:val="0"/>
          <w:numId w:val="1"/>
        </w:numPr>
      </w:pPr>
      <w:r>
        <w:rPr>
          <w:rFonts w:ascii="Times New Roman" w:hAnsi="Times New Roman"/>
        </w:rPr>
        <w:t>Définir l’Hypertension portale</w:t>
      </w:r>
    </w:p>
    <w:p>
      <w:pPr>
        <w:numPr>
          <w:ilvl w:val="0"/>
          <w:numId w:val="1"/>
        </w:numPr>
      </w:pPr>
      <w:r>
        <w:rPr>
          <w:rFonts w:ascii="Times New Roman" w:hAnsi="Times New Roman"/>
        </w:rPr>
        <w:t>Expliquer la physiopathologie</w:t>
      </w:r>
    </w:p>
    <w:p>
      <w:pPr>
        <w:numPr>
          <w:ilvl w:val="0"/>
          <w:numId w:val="1"/>
        </w:numPr>
      </w:pPr>
      <w:r>
        <w:rPr>
          <w:rFonts w:ascii="Times New Roman" w:hAnsi="Times New Roman"/>
        </w:rPr>
        <w:t>Décrire les signes et les étiologies</w:t>
      </w:r>
    </w:p>
    <w:p>
      <w:pPr>
        <w:pStyle w:val="Heading2"/>
      </w:pPr>
      <w:r>
        <w:rPr>
          <w:rFonts w:ascii="Times New Roman" w:hAnsi="Times New Roman"/>
        </w:rPr>
        <w:t>INTRODUCTION</w:t>
      </w:r>
    </w:p>
    <w:p>
      <w:pPr>
        <w:pStyle w:val="Heading3"/>
      </w:pPr>
      <w:r>
        <w:rPr>
          <w:rFonts w:ascii="Times New Roman" w:hAnsi="Times New Roman"/>
        </w:rPr>
        <w:t>Définition</w:t>
      </w:r>
    </w:p>
    <w:p>
      <w:pPr>
        <w:numPr>
          <w:ilvl w:val="1"/>
          <w:numId w:val="2"/>
        </w:numPr>
      </w:pPr>
      <w:r>
        <w:rPr>
          <w:rFonts w:ascii="Times New Roman" w:hAnsi="Times New Roman"/>
          <w:b/>
        </w:rPr>
        <w:t>Elévation de la pression portale &gt; 15 mmHg (</w:t>
      </w:r>
      <w:r>
        <w:rPr>
          <w:rFonts w:ascii="Times New Roman" w:hAnsi="Times New Roman"/>
          <w:i/>
        </w:rPr>
        <w:t>au niveau du système porte)</w:t>
      </w:r>
    </w:p>
    <w:p>
      <w:pPr>
        <w:numPr>
          <w:ilvl w:val="1"/>
          <w:numId w:val="2"/>
        </w:numPr>
      </w:pPr>
      <w:r>
        <w:rPr>
          <w:rFonts w:ascii="Times New Roman" w:hAnsi="Times New Roman"/>
        </w:rPr>
        <w:t>Elévation de la différence de pression &gt; 5mmHg entre le système cave et le système porte</w:t>
      </w:r>
    </w:p>
    <w:p>
      <w:pPr>
        <w:numPr>
          <w:ilvl w:val="1"/>
          <w:numId w:val="2"/>
        </w:numPr>
      </w:pPr>
      <w:r>
        <w:rPr>
          <w:rFonts w:ascii="Times New Roman" w:hAnsi="Times New Roman"/>
        </w:rPr>
        <w:t>Cette HTP est secondaire à un obstacle (=bloc) au niveau du système porte</w:t>
      </w:r>
      <w:r>
        <w:rPr>
          <w:rFonts w:ascii="Times New Roman" w:hAnsi="Times New Roman"/>
        </w:rPr>
        <w:br/>
      </w:r>
    </w:p>
    <w:p>
      <w:pPr>
        <w:pStyle w:val="Heading3"/>
      </w:pPr>
      <w:r>
        <w:rPr>
          <w:rFonts w:ascii="Times New Roman" w:hAnsi="Times New Roman"/>
        </w:rPr>
        <w:t>Intérêts</w:t>
      </w:r>
    </w:p>
    <w:p>
      <w:pPr>
        <w:numPr>
          <w:ilvl w:val="1"/>
          <w:numId w:val="2"/>
        </w:numPr>
      </w:pPr>
      <w:r>
        <w:rPr>
          <w:rFonts w:ascii="Times New Roman" w:hAnsi="Times New Roman"/>
        </w:rPr>
        <w:t xml:space="preserve">Affection grave </w:t>
      </w:r>
    </w:p>
    <w:p>
      <w:pPr>
        <w:numPr>
          <w:ilvl w:val="2"/>
          <w:numId w:val="2"/>
        </w:numPr>
      </w:pPr>
      <w:r>
        <w:rPr>
          <w:rFonts w:ascii="Times New Roman" w:hAnsi="Times New Roman"/>
        </w:rPr>
        <w:t xml:space="preserve">Peut se compliquer : la plus redoutable étant </w:t>
      </w:r>
      <w:r>
        <w:rPr>
          <w:rFonts w:ascii="Times New Roman" w:hAnsi="Times New Roman"/>
          <w:b/>
        </w:rPr>
        <w:t>l’hémorragie digestive</w:t>
      </w:r>
    </w:p>
    <w:p>
      <w:pPr/>
    </w:p>
    <w:p>
      <w:pPr>
        <w:pStyle w:val="Heading3"/>
      </w:pPr>
      <w:r>
        <w:rPr>
          <w:rFonts w:ascii="Times New Roman" w:hAnsi="Times New Roman"/>
        </w:rPr>
        <w:t>PHYSIOPATHOLOGIE</w:t>
      </w:r>
    </w:p>
    <w:p>
      <w:pPr>
        <w:pStyle w:val="Heading4"/>
      </w:pPr>
      <w:r>
        <w:rPr>
          <w:rFonts w:ascii="Times New Roman" w:hAnsi="Times New Roman"/>
        </w:rPr>
        <w:t>Rappels anatomiques et physiologiques</w:t>
      </w:r>
    </w:p>
    <w:p>
      <w:pPr/>
      <w:r>
        <w:drawing>
          <wp:inline xmlns:a="http://schemas.openxmlformats.org/drawingml/2006/main" xmlns:pic="http://schemas.openxmlformats.org/drawingml/2006/picture">
            <wp:extent cx="22606000" cy="1691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606000" cy="1691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drawing>
          <wp:inline xmlns:a="http://schemas.openxmlformats.org/drawingml/2006/main" xmlns:pic="http://schemas.openxmlformats.org/drawingml/2006/picture">
            <wp:extent cx="21818600" cy="16332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818600" cy="1633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>
          <w:rFonts w:ascii="Times New Roman" w:hAnsi="Times New Roman"/>
        </w:rPr>
        <w:t xml:space="preserve">Les principaux types d’HTP : </w:t>
      </w:r>
      <w:r>
        <w:rPr>
          <w:rFonts w:ascii="Times New Roman" w:hAnsi="Times New Roman"/>
        </w:rPr>
        <w:t>en fonction du siège de l’obstacle, 3 types</w:t>
      </w:r>
    </w:p>
    <w:p>
      <w:pPr>
        <w:numPr>
          <w:ilvl w:val="1"/>
          <w:numId w:val="3"/>
        </w:numPr>
      </w:pPr>
      <w:r>
        <w:rPr>
          <w:rFonts w:ascii="Times New Roman" w:hAnsi="Times New Roman"/>
        </w:rPr>
        <w:t xml:space="preserve">Obstacle au niveau du foie : </w:t>
      </w:r>
      <w:r>
        <w:rPr>
          <w:rFonts w:ascii="Times New Roman" w:hAnsi="Times New Roman"/>
          <w:b/>
        </w:rPr>
        <w:t>BLOC INTRA-HEPATIQUE,</w:t>
      </w:r>
      <w:r>
        <w:rPr>
          <w:rFonts w:ascii="Times New Roman" w:hAnsi="Times New Roman"/>
        </w:rPr>
        <w:t xml:space="preserve"> c’est le type le plus fréquemment rencontré</w:t>
      </w:r>
    </w:p>
    <w:p>
      <w:pPr>
        <w:numPr>
          <w:ilvl w:val="1"/>
          <w:numId w:val="3"/>
        </w:numPr>
      </w:pPr>
      <w:r>
        <w:rPr>
          <w:rFonts w:ascii="Times New Roman" w:hAnsi="Times New Roman"/>
        </w:rPr>
        <w:t xml:space="preserve">Obstacle au niveau de la veine porte : </w:t>
      </w:r>
      <w:r>
        <w:rPr>
          <w:rFonts w:ascii="Times New Roman" w:hAnsi="Times New Roman"/>
          <w:b/>
        </w:rPr>
        <w:t xml:space="preserve">BLOC SOUS-HEPATIQUE </w:t>
      </w:r>
      <w:r>
        <w:rPr>
          <w:rFonts w:ascii="Times New Roman" w:hAnsi="Times New Roman"/>
        </w:rPr>
        <w:t xml:space="preserve">ou </w:t>
      </w:r>
      <w:r>
        <w:rPr>
          <w:rFonts w:ascii="Times New Roman" w:hAnsi="Times New Roman"/>
          <w:b/>
        </w:rPr>
        <w:t xml:space="preserve">INFRA-HEPATIQUE </w:t>
      </w:r>
      <w:r>
        <w:rPr>
          <w:rFonts w:ascii="Times New Roman" w:hAnsi="Times New Roman"/>
        </w:rPr>
        <w:t xml:space="preserve">ou </w:t>
      </w:r>
      <w:r>
        <w:rPr>
          <w:rFonts w:ascii="Times New Roman" w:hAnsi="Times New Roman"/>
          <w:b/>
        </w:rPr>
        <w:t>PRE-HEPATIQUE</w:t>
      </w:r>
    </w:p>
    <w:p>
      <w:pPr>
        <w:numPr>
          <w:ilvl w:val="1"/>
          <w:numId w:val="3"/>
        </w:numPr>
      </w:pPr>
      <w:r>
        <w:rPr>
          <w:rFonts w:ascii="Times New Roman" w:hAnsi="Times New Roman"/>
        </w:rPr>
        <w:t xml:space="preserve">Obstacle </w:t>
      </w:r>
      <w:r>
        <w:rPr>
          <w:rFonts w:ascii="Times New Roman" w:hAnsi="Times New Roman"/>
        </w:rPr>
        <w:t>au-dessus</w:t>
      </w:r>
      <w:r>
        <w:rPr>
          <w:rFonts w:ascii="Times New Roman" w:hAnsi="Times New Roman"/>
        </w:rPr>
        <w:t xml:space="preserve"> du foie (sur les veines sus-hépatiques) : </w:t>
      </w:r>
      <w:r>
        <w:rPr>
          <w:rFonts w:ascii="Times New Roman" w:hAnsi="Times New Roman"/>
          <w:b/>
        </w:rPr>
        <w:t xml:space="preserve">BLOC SUS-HEPATIQUE </w:t>
      </w:r>
      <w:r>
        <w:rPr>
          <w:rFonts w:ascii="Times New Roman" w:hAnsi="Times New Roman"/>
        </w:rPr>
        <w:t xml:space="preserve">ou </w:t>
      </w:r>
      <w:r>
        <w:rPr>
          <w:rFonts w:ascii="Times New Roman" w:hAnsi="Times New Roman"/>
          <w:b/>
        </w:rPr>
        <w:t xml:space="preserve">SUPRA-HEPATIQUE </w:t>
      </w:r>
      <w:r>
        <w:rPr>
          <w:rFonts w:ascii="Times New Roman" w:hAnsi="Times New Roman"/>
        </w:rPr>
        <w:t xml:space="preserve">ou </w:t>
      </w:r>
      <w:r>
        <w:rPr>
          <w:rFonts w:ascii="Times New Roman" w:hAnsi="Times New Roman"/>
          <w:b/>
        </w:rPr>
        <w:t>POST-HEPATIQUE</w:t>
      </w:r>
    </w:p>
    <w:p>
      <w:pPr>
        <w:ind w:left="720"/>
      </w:pPr>
      <w:r>
        <w:drawing>
          <wp:inline xmlns:a="http://schemas.openxmlformats.org/drawingml/2006/main" xmlns:pic="http://schemas.openxmlformats.org/drawingml/2006/picture">
            <wp:extent cx="17195800" cy="12865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95800" cy="1286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/>
        <w:t>ANASTOMOSES PORTO-CAVES :</w:t>
      </w:r>
    </w:p>
    <w:p>
      <w:pPr>
        <w:numPr>
          <w:ilvl w:val="1"/>
          <w:numId w:val="3"/>
        </w:numPr>
      </w:pPr>
      <w:r>
        <w:rPr>
          <w:rFonts w:ascii="Times New Roman" w:hAnsi="Times New Roman"/>
          <w:b/>
        </w:rPr>
        <w:t xml:space="preserve">En cas d’obstacle : </w:t>
      </w:r>
      <w:r>
        <w:rPr>
          <w:rFonts w:ascii="Times New Roman" w:hAnsi="Times New Roman"/>
        </w:rPr>
        <w:t>le sang essaie de passer d’un territoire à pression plus élevée vers un territoire à pression plus basse (système porte -&gt; système cave)</w:t>
      </w:r>
    </w:p>
    <w:p>
      <w:pPr>
        <w:numPr>
          <w:ilvl w:val="1"/>
          <w:numId w:val="3"/>
        </w:numPr>
      </w:pPr>
      <w:r>
        <w:rPr>
          <w:rFonts w:ascii="Times New Roman" w:hAnsi="Times New Roman"/>
        </w:rPr>
        <w:t>4 types d’anastomoses porto-caves :</w:t>
      </w:r>
    </w:p>
    <w:p>
      <w:pPr>
        <w:numPr>
          <w:ilvl w:val="2"/>
          <w:numId w:val="3"/>
        </w:numPr>
      </w:pPr>
      <w:r>
        <w:rPr>
          <w:rFonts w:ascii="Times New Roman" w:hAnsi="Times New Roman"/>
          <w:b/>
        </w:rPr>
        <w:t xml:space="preserve">Inférieure : </w:t>
      </w:r>
      <w:r>
        <w:rPr>
          <w:rFonts w:ascii="Times New Roman" w:hAnsi="Times New Roman"/>
        </w:rPr>
        <w:t xml:space="preserve">veine mésentérique inférieure vers la veine hémorroïdaire </w:t>
      </w:r>
      <w:r>
        <w:rPr>
          <w:rFonts w:ascii="Times New Roman" w:hAnsi="Times New Roman"/>
          <w:i/>
        </w:rPr>
        <w:t>pour rejoindre la veine cave inférieure</w:t>
      </w:r>
    </w:p>
    <w:p>
      <w:pPr/>
      <w:r>
        <w:drawing>
          <wp:inline xmlns:a="http://schemas.openxmlformats.org/drawingml/2006/main" xmlns:pic="http://schemas.openxmlformats.org/drawingml/2006/picture">
            <wp:extent cx="22606000" cy="1691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606000" cy="1691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2"/>
          <w:numId w:val="3"/>
        </w:numPr>
      </w:pPr>
      <w:r>
        <w:rPr>
          <w:rFonts w:ascii="Times New Roman" w:hAnsi="Times New Roman"/>
          <w:b/>
        </w:rPr>
        <w:t>Supérieur :</w:t>
      </w:r>
    </w:p>
    <w:p>
      <w:pPr>
        <w:numPr>
          <w:ilvl w:val="3"/>
          <w:numId w:val="3"/>
        </w:numPr>
      </w:pPr>
      <w:r>
        <w:rPr>
          <w:rFonts w:ascii="Times New Roman" w:hAnsi="Times New Roman"/>
        </w:rPr>
        <w:t xml:space="preserve">Le sang passe au niveau de la veine coronaire stomachique (cardio-tubérositaire) -&gt; veine </w:t>
      </w:r>
      <w:r>
        <w:rPr>
          <w:rFonts w:ascii="Times New Roman" w:hAnsi="Times New Roman"/>
        </w:rPr>
        <w:t>oesophagienne</w:t>
      </w:r>
      <w:r>
        <w:rPr>
          <w:rFonts w:ascii="Times New Roman" w:hAnsi="Times New Roman"/>
        </w:rPr>
        <w:t xml:space="preserve"> -&gt; veine cardia -&gt; Veine cave supérieure</w:t>
      </w:r>
    </w:p>
    <w:p>
      <w:pPr>
        <w:numPr>
          <w:ilvl w:val="2"/>
          <w:numId w:val="3"/>
        </w:numPr>
      </w:pPr>
      <w:r>
        <w:rPr>
          <w:rFonts w:ascii="Times New Roman" w:hAnsi="Times New Roman"/>
          <w:b/>
        </w:rPr>
        <w:t>Antérieur :</w:t>
      </w:r>
    </w:p>
    <w:p>
      <w:pPr>
        <w:numPr>
          <w:ilvl w:val="3"/>
          <w:numId w:val="3"/>
        </w:numPr>
      </w:pPr>
      <w:r>
        <w:rPr>
          <w:rFonts w:ascii="Times New Roman" w:hAnsi="Times New Roman"/>
        </w:rPr>
        <w:t>Le sang passe de la veine du ligament falciforme puis la veine abdominale -&gt; veine ombilicale -&gt; veine cave inférieure</w:t>
      </w:r>
    </w:p>
    <w:p>
      <w:pPr/>
      <w:r>
        <w:drawing>
          <wp:inline xmlns:a="http://schemas.openxmlformats.org/drawingml/2006/main" xmlns:pic="http://schemas.openxmlformats.org/drawingml/2006/picture">
            <wp:extent cx="22606000" cy="1691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606000" cy="1691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2"/>
          <w:numId w:val="3"/>
        </w:numPr>
      </w:pPr>
      <w:r>
        <w:rPr>
          <w:rFonts w:ascii="Times New Roman" w:hAnsi="Times New Roman"/>
          <w:b/>
        </w:rPr>
        <w:t>Postérieur :</w:t>
      </w:r>
    </w:p>
    <w:p>
      <w:pPr>
        <w:numPr>
          <w:ilvl w:val="3"/>
          <w:numId w:val="3"/>
        </w:numPr>
      </w:pPr>
      <w:r>
        <w:rPr>
          <w:rFonts w:ascii="Times New Roman" w:hAnsi="Times New Roman"/>
        </w:rPr>
        <w:t>Le sang passe au niveau de la veine cardio-tubérositaire -&gt; veine rénale gauche -&gt; Veine cave inférieure</w:t>
      </w:r>
    </w:p>
    <w:p>
      <w:pPr/>
      <w:r>
        <w:drawing>
          <wp:inline xmlns:a="http://schemas.openxmlformats.org/drawingml/2006/main" xmlns:pic="http://schemas.openxmlformats.org/drawingml/2006/picture">
            <wp:extent cx="22606000" cy="1691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606000" cy="1691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/>
        <w:t xml:space="preserve">Anastomose porto-porte : </w:t>
      </w:r>
    </w:p>
    <w:p>
      <w:pPr>
        <w:numPr>
          <w:ilvl w:val="1"/>
          <w:numId w:val="3"/>
        </w:numPr>
      </w:pPr>
      <w:r>
        <w:rPr>
          <w:rFonts w:ascii="Times New Roman" w:hAnsi="Times New Roman"/>
        </w:rPr>
        <w:t>= circulation collatérale entre le territoire porte en hyperpression et le territoire porte à basse pression</w:t>
      </w:r>
    </w:p>
    <w:p>
      <w:pPr>
        <w:numPr>
          <w:ilvl w:val="1"/>
          <w:numId w:val="3"/>
        </w:numPr>
      </w:pPr>
      <w:r>
        <w:rPr>
          <w:rFonts w:ascii="Times New Roman" w:hAnsi="Times New Roman"/>
        </w:rPr>
        <w:t xml:space="preserve">Se présente sous forme d’un Manchon veineux (réseau veineux) qui se trouve tout autour de la veine porte, portant le nom de </w:t>
      </w:r>
      <w:r>
        <w:rPr>
          <w:rFonts w:ascii="Times New Roman" w:hAnsi="Times New Roman"/>
          <w:b/>
        </w:rPr>
        <w:t>Cavernome</w:t>
      </w:r>
    </w:p>
    <w:p>
      <w:pPr/>
      <w:r>
        <w:drawing>
          <wp:inline xmlns:a="http://schemas.openxmlformats.org/drawingml/2006/main" xmlns:pic="http://schemas.openxmlformats.org/drawingml/2006/picture">
            <wp:extent cx="21551900" cy="161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551900" cy="161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>
        <w:pStyle w:val="Heading2"/>
      </w:pPr>
      <w:r>
        <w:rPr>
          <w:rFonts w:ascii="Times New Roman" w:hAnsi="Times New Roman"/>
        </w:rPr>
        <w:t>SIGNES :</w:t>
      </w:r>
    </w:p>
    <w:p>
      <w:pPr>
        <w:pStyle w:val="Heading3"/>
        <w:numPr>
          <w:ilvl w:val="0"/>
          <w:numId w:val="4"/>
        </w:numPr>
      </w:pPr>
      <w:r>
        <w:rPr>
          <w:rFonts w:ascii="Times New Roman" w:hAnsi="Times New Roman"/>
        </w:rPr>
        <w:t xml:space="preserve">Clinique : </w:t>
      </w:r>
      <w:r>
        <w:rPr>
          <w:rFonts w:ascii="Times New Roman" w:hAnsi="Times New Roman"/>
        </w:rPr>
        <w:t>4 signes cardinaux importants</w:t>
      </w:r>
    </w:p>
    <w:p>
      <w:pPr>
        <w:numPr>
          <w:ilvl w:val="1"/>
          <w:numId w:val="4"/>
        </w:num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Circulations veineuses collatérales abdominales :</w:t>
      </w:r>
    </w:p>
    <w:p>
      <w:pPr>
        <w:numPr>
          <w:ilvl w:val="2"/>
          <w:numId w:val="4"/>
        </w:numPr>
      </w:pPr>
      <w:r>
        <w:rPr>
          <w:rFonts w:ascii="Times New Roman" w:hAnsi="Times New Roman"/>
        </w:rPr>
        <w:t>Se présentent comme une circulation anormale au niveau de la paroi abdominale</w:t>
      </w:r>
    </w:p>
    <w:p>
      <w:pPr>
        <w:numPr>
          <w:ilvl w:val="2"/>
          <w:numId w:val="4"/>
        </w:numPr>
      </w:pPr>
      <w:r>
        <w:rPr>
          <w:rFonts w:ascii="Times New Roman" w:hAnsi="Times New Roman"/>
        </w:rPr>
        <w:t>Signes majeurs mais inconstant</w:t>
      </w:r>
    </w:p>
    <w:p>
      <w:pPr>
        <w:numPr>
          <w:ilvl w:val="2"/>
          <w:numId w:val="4"/>
        </w:numPr>
      </w:pPr>
      <w:r>
        <w:rPr>
          <w:rFonts w:ascii="Times New Roman" w:hAnsi="Times New Roman"/>
        </w:rPr>
        <w:t>D’abord sus-ombilical, entre l’ombilic et l’appendice xyphoïde</w:t>
      </w:r>
    </w:p>
    <w:p>
      <w:pPr>
        <w:numPr>
          <w:ilvl w:val="2"/>
          <w:numId w:val="4"/>
        </w:numPr>
      </w:pPr>
      <w:r>
        <w:rPr>
          <w:rFonts w:ascii="Times New Roman" w:hAnsi="Times New Roman"/>
        </w:rPr>
        <w:t>Puis au niveau des flancs</w:t>
      </w:r>
    </w:p>
    <w:p>
      <w:pPr>
        <w:numPr>
          <w:ilvl w:val="2"/>
          <w:numId w:val="4"/>
        </w:numPr>
      </w:pPr>
      <w:r>
        <w:rPr>
          <w:rFonts w:ascii="Times New Roman" w:hAnsi="Times New Roman"/>
        </w:rPr>
        <w:t>Et enfin en sous-ombilical</w:t>
      </w:r>
      <w:r>
        <w:rPr>
          <w:rFonts w:ascii="Times New Roman" w:hAnsi="Times New Roman"/>
        </w:rPr>
        <w:br/>
      </w:r>
    </w:p>
    <w:p>
      <w:pPr>
        <w:numPr>
          <w:ilvl w:val="1"/>
          <w:numId w:val="4"/>
        </w:numPr>
      </w:pPr>
      <w:r>
        <w:rPr>
          <w:rFonts w:ascii="Times New Roman" w:hAnsi="Times New Roman"/>
          <w:b/>
        </w:rPr>
        <w:t xml:space="preserve">Varices </w:t>
      </w:r>
      <w:r>
        <w:rPr>
          <w:rFonts w:ascii="Times New Roman" w:hAnsi="Times New Roman"/>
          <w:b/>
        </w:rPr>
        <w:t>oesophagiennes</w:t>
      </w:r>
      <w:r>
        <w:rPr>
          <w:rFonts w:ascii="Times New Roman" w:hAnsi="Times New Roman"/>
          <w:b/>
        </w:rPr>
        <w:t xml:space="preserve"> et varices gastriques</w:t>
      </w:r>
    </w:p>
    <w:p>
      <w:pPr>
        <w:numPr>
          <w:ilvl w:val="2"/>
          <w:numId w:val="4"/>
        </w:numPr>
      </w:pPr>
      <w:r>
        <w:rPr>
          <w:rFonts w:ascii="Times New Roman" w:hAnsi="Times New Roman"/>
        </w:rPr>
        <w:t>Au début, n’ont aucune manifestation clinique</w:t>
      </w:r>
    </w:p>
    <w:p>
      <w:pPr>
        <w:numPr>
          <w:ilvl w:val="2"/>
          <w:numId w:val="4"/>
        </w:numPr>
      </w:pPr>
      <w:r>
        <w:rPr>
          <w:rFonts w:ascii="Times New Roman" w:hAnsi="Times New Roman"/>
        </w:rPr>
        <w:t>En phase évoluée, se manifestent par des hémorragies digestives (</w:t>
      </w:r>
      <w:r>
        <w:rPr>
          <w:rFonts w:ascii="Times New Roman" w:hAnsi="Times New Roman"/>
          <w:i/>
        </w:rPr>
        <w:t xml:space="preserve">classiquement le motif de décès du patient, vomissement de plus de 2 </w:t>
      </w:r>
      <w:r>
        <w:rPr>
          <w:rFonts w:ascii="Times New Roman" w:hAnsi="Times New Roman"/>
          <w:i/>
        </w:rPr>
        <w:t>litres de sang en quelques heures)</w:t>
      </w:r>
      <w:r>
        <w:rPr>
          <w:rFonts w:ascii="Times New Roman" w:hAnsi="Times New Roman"/>
          <w:i/>
        </w:rPr>
        <w:br/>
      </w:r>
    </w:p>
    <w:p>
      <w:pPr>
        <w:numPr>
          <w:ilvl w:val="1"/>
          <w:numId w:val="4"/>
        </w:numPr>
      </w:pPr>
      <w:r>
        <w:rPr>
          <w:rFonts w:ascii="Times New Roman" w:hAnsi="Times New Roman"/>
          <w:b/>
        </w:rPr>
        <w:t>Splénomégalie :</w:t>
      </w:r>
    </w:p>
    <w:p>
      <w:pPr>
        <w:numPr>
          <w:ilvl w:val="2"/>
          <w:numId w:val="4"/>
        </w:numPr>
      </w:pPr>
      <w:r>
        <w:rPr>
          <w:rFonts w:ascii="Times New Roman" w:hAnsi="Times New Roman"/>
        </w:rPr>
        <w:t>Modérée</w:t>
      </w:r>
    </w:p>
    <w:p>
      <w:pPr>
        <w:numPr>
          <w:ilvl w:val="2"/>
          <w:numId w:val="4"/>
        </w:numPr>
      </w:pPr>
      <w:r>
        <w:rPr>
          <w:rFonts w:ascii="Times New Roman" w:hAnsi="Times New Roman"/>
        </w:rPr>
        <w:t>Ferme</w:t>
      </w:r>
    </w:p>
    <w:p>
      <w:pPr>
        <w:numPr>
          <w:ilvl w:val="2"/>
          <w:numId w:val="4"/>
        </w:numPr>
      </w:pPr>
      <w:r>
        <w:rPr>
          <w:rFonts w:ascii="Times New Roman" w:hAnsi="Times New Roman"/>
        </w:rPr>
        <w:t xml:space="preserve">Indolore </w:t>
      </w:r>
    </w:p>
    <w:p>
      <w:pPr>
        <w:numPr>
          <w:ilvl w:val="2"/>
          <w:numId w:val="4"/>
        </w:numPr>
      </w:pPr>
      <w:r>
        <w:rPr>
          <w:rFonts w:ascii="Times New Roman" w:hAnsi="Times New Roman"/>
        </w:rPr>
        <w:t>Hackett</w:t>
      </w:r>
      <w:r>
        <w:rPr>
          <w:rFonts w:ascii="Times New Roman" w:hAnsi="Times New Roman"/>
        </w:rPr>
        <w:t xml:space="preserve"> II ou III</w:t>
      </w:r>
      <w:r>
        <w:rPr>
          <w:rFonts w:ascii="Times New Roman" w:hAnsi="Times New Roman"/>
        </w:rPr>
        <w:br/>
      </w:r>
    </w:p>
    <w:p>
      <w:pPr>
        <w:numPr>
          <w:ilvl w:val="1"/>
          <w:numId w:val="4"/>
        </w:numPr>
      </w:pPr>
      <w:r>
        <w:rPr>
          <w:rFonts w:ascii="Times New Roman" w:hAnsi="Times New Roman"/>
          <w:b/>
        </w:rPr>
        <w:t>Ascite</w:t>
      </w:r>
    </w:p>
    <w:p>
      <w:pPr>
        <w:numPr>
          <w:ilvl w:val="2"/>
          <w:numId w:val="4"/>
        </w:numPr>
      </w:pPr>
      <w:r>
        <w:rPr>
          <w:rFonts w:ascii="Times New Roman" w:hAnsi="Times New Roman"/>
        </w:rPr>
        <w:t>D’abondance variable</w:t>
      </w:r>
      <w:r>
        <w:rPr>
          <w:rFonts w:ascii="Times New Roman" w:hAnsi="Times New Roman"/>
        </w:rPr>
        <w:br/>
      </w:r>
    </w:p>
    <w:p>
      <w:pPr>
        <w:pStyle w:val="Heading3"/>
        <w:numPr>
          <w:ilvl w:val="0"/>
          <w:numId w:val="4"/>
        </w:numPr>
      </w:pPr>
      <w:r>
        <w:rPr>
          <w:rFonts w:ascii="Times New Roman" w:hAnsi="Times New Roman"/>
        </w:rPr>
        <w:t>Signes paracliniques :</w:t>
      </w:r>
    </w:p>
    <w:p>
      <w:pPr>
        <w:pStyle w:val="Heading4"/>
        <w:numPr>
          <w:ilvl w:val="0"/>
          <w:numId w:val="55"/>
        </w:numPr>
      </w:pPr>
      <w:r>
        <w:rPr>
          <w:rFonts w:ascii="Times New Roman" w:hAnsi="Times New Roman"/>
        </w:rPr>
        <w:t>Echographie abdominale :</w:t>
      </w:r>
    </w:p>
    <w:p>
      <w:pPr>
        <w:numPr>
          <w:ilvl w:val="2"/>
          <w:numId w:val="53"/>
        </w:numPr>
      </w:pPr>
      <w:r>
        <w:rPr>
          <w:rFonts w:ascii="Times New Roman" w:hAnsi="Times New Roman"/>
        </w:rPr>
        <w:t>Indispensable devant une suspicion d’HTP</w:t>
      </w:r>
    </w:p>
    <w:p>
      <w:pPr>
        <w:numPr>
          <w:ilvl w:val="2"/>
          <w:numId w:val="53"/>
        </w:numPr>
      </w:pPr>
      <w:r>
        <w:rPr>
          <w:rFonts w:ascii="Times New Roman" w:hAnsi="Times New Roman"/>
        </w:rPr>
        <w:t>Buts :</w:t>
      </w:r>
    </w:p>
    <w:p>
      <w:pPr>
        <w:numPr>
          <w:ilvl w:val="3"/>
          <w:numId w:val="53"/>
        </w:numPr>
      </w:pPr>
      <w:r>
        <w:rPr>
          <w:rFonts w:ascii="Times New Roman" w:hAnsi="Times New Roman"/>
        </w:rPr>
        <w:t>Confirmation de la splénomégalie</w:t>
      </w:r>
    </w:p>
    <w:p>
      <w:pPr>
        <w:numPr>
          <w:ilvl w:val="3"/>
          <w:numId w:val="53"/>
        </w:numPr>
      </w:pPr>
      <w:r>
        <w:rPr>
          <w:rFonts w:ascii="Times New Roman" w:hAnsi="Times New Roman"/>
        </w:rPr>
        <w:t>Détection éventuelle d’une ascite</w:t>
      </w:r>
    </w:p>
    <w:p>
      <w:pPr>
        <w:numPr>
          <w:ilvl w:val="3"/>
          <w:numId w:val="53"/>
        </w:numPr>
      </w:pPr>
      <w:r>
        <w:rPr>
          <w:rFonts w:ascii="Times New Roman" w:hAnsi="Times New Roman"/>
        </w:rPr>
        <w:t>Analyse du tronc porte (N : diamètre &lt; 12mm)</w:t>
      </w:r>
    </w:p>
    <w:p>
      <w:pPr>
        <w:numPr>
          <w:ilvl w:val="4"/>
          <w:numId w:val="53"/>
        </w:numPr>
      </w:pPr>
      <w:r>
        <w:rPr>
          <w:rFonts w:ascii="Times New Roman" w:hAnsi="Times New Roman"/>
        </w:rPr>
        <w:t>Bloc intra-hépatique : dilatation du tronc porte</w:t>
      </w:r>
    </w:p>
    <w:p>
      <w:pPr>
        <w:numPr>
          <w:ilvl w:val="4"/>
          <w:numId w:val="53"/>
        </w:numPr>
      </w:pPr>
      <w:r>
        <w:rPr>
          <w:rFonts w:ascii="Times New Roman" w:hAnsi="Times New Roman"/>
        </w:rPr>
        <w:t xml:space="preserve">Bloc </w:t>
      </w:r>
      <w:r>
        <w:rPr>
          <w:rFonts w:ascii="Times New Roman" w:hAnsi="Times New Roman"/>
        </w:rPr>
        <w:t>infra-hépatique</w:t>
      </w:r>
      <w:r>
        <w:rPr>
          <w:rFonts w:ascii="Times New Roman" w:hAnsi="Times New Roman"/>
        </w:rPr>
        <w:t xml:space="preserve"> : cavernome</w:t>
      </w:r>
      <w:r>
        <w:rPr>
          <w:rFonts w:ascii="Times New Roman" w:hAnsi="Times New Roman"/>
        </w:rPr>
        <w:br/>
      </w:r>
    </w:p>
    <w:p>
      <w:pPr>
        <w:pStyle w:val="Heading4"/>
        <w:numPr>
          <w:ilvl w:val="0"/>
          <w:numId w:val="55"/>
        </w:numPr>
      </w:pPr>
      <w:r>
        <w:rPr>
          <w:rFonts w:ascii="Times New Roman" w:hAnsi="Times New Roman"/>
        </w:rPr>
        <w:t>Endoscopie digestive :</w:t>
      </w:r>
    </w:p>
    <w:p>
      <w:pPr>
        <w:numPr>
          <w:ilvl w:val="2"/>
          <w:numId w:val="53"/>
        </w:numPr>
      </w:pPr>
      <w:r>
        <w:rPr>
          <w:rFonts w:ascii="Times New Roman" w:hAnsi="Times New Roman"/>
        </w:rPr>
        <w:t>Gastropathie</w:t>
      </w:r>
      <w:r>
        <w:rPr>
          <w:rFonts w:ascii="Times New Roman" w:hAnsi="Times New Roman"/>
        </w:rPr>
        <w:t xml:space="preserve"> congestive : </w:t>
      </w:r>
      <w:r>
        <w:rPr>
          <w:rFonts w:ascii="Times New Roman" w:hAnsi="Times New Roman"/>
          <w:i/>
        </w:rPr>
        <w:t xml:space="preserve">= </w:t>
      </w:r>
      <w:r>
        <w:rPr>
          <w:rFonts w:ascii="Times New Roman" w:hAnsi="Times New Roman"/>
          <w:i/>
        </w:rPr>
        <w:t>gastropathie</w:t>
      </w:r>
      <w:r>
        <w:rPr>
          <w:rFonts w:ascii="Times New Roman" w:hAnsi="Times New Roman"/>
          <w:i/>
        </w:rPr>
        <w:t xml:space="preserve"> d’HTP</w:t>
      </w:r>
    </w:p>
    <w:p>
      <w:pPr>
        <w:numPr>
          <w:ilvl w:val="3"/>
          <w:numId w:val="53"/>
        </w:numPr>
      </w:pPr>
      <w:r>
        <w:rPr>
          <w:rFonts w:ascii="Times New Roman" w:hAnsi="Times New Roman"/>
        </w:rPr>
        <w:t>Lésion purpurique</w:t>
      </w:r>
    </w:p>
    <w:p>
      <w:pPr>
        <w:numPr>
          <w:ilvl w:val="3"/>
          <w:numId w:val="53"/>
        </w:numPr>
      </w:pPr>
      <w:r>
        <w:rPr>
          <w:rFonts w:ascii="Times New Roman" w:hAnsi="Times New Roman"/>
        </w:rPr>
        <w:t>Lésion en mosaïque (en peau de serpent)</w:t>
      </w:r>
    </w:p>
    <w:p>
      <w:pPr>
        <w:numPr>
          <w:ilvl w:val="3"/>
          <w:numId w:val="53"/>
        </w:numPr>
      </w:pPr>
      <w:r>
        <w:rPr>
          <w:rFonts w:ascii="Times New Roman" w:hAnsi="Times New Roman"/>
        </w:rPr>
        <w:t>Dilatation des vaisseaux sous-muqueux</w:t>
      </w:r>
    </w:p>
    <w:p>
      <w:pPr>
        <w:numPr>
          <w:ilvl w:val="2"/>
          <w:numId w:val="53"/>
        </w:numPr>
      </w:pPr>
      <w:r>
        <w:rPr>
          <w:rFonts w:ascii="Times New Roman" w:hAnsi="Times New Roman"/>
        </w:rPr>
        <w:t>Varice gastrique :</w:t>
      </w:r>
    </w:p>
    <w:p>
      <w:pPr>
        <w:numPr>
          <w:ilvl w:val="3"/>
          <w:numId w:val="53"/>
        </w:numPr>
      </w:pPr>
      <w:r>
        <w:rPr>
          <w:rFonts w:ascii="Times New Roman" w:hAnsi="Times New Roman"/>
        </w:rPr>
        <w:t>Moins fréquente</w:t>
      </w:r>
    </w:p>
    <w:p>
      <w:pPr>
        <w:numPr>
          <w:ilvl w:val="3"/>
          <w:numId w:val="53"/>
        </w:numPr>
      </w:pPr>
      <w:r>
        <w:rPr>
          <w:rFonts w:ascii="Times New Roman" w:hAnsi="Times New Roman"/>
        </w:rPr>
        <w:t>Localisée au niveau du cardia et de la grosse tubérosité de l’estomac</w:t>
      </w:r>
    </w:p>
    <w:p>
      <w:pPr>
        <w:numPr>
          <w:ilvl w:val="2"/>
          <w:numId w:val="53"/>
        </w:numPr>
      </w:pPr>
      <w:r>
        <w:rPr>
          <w:rFonts w:ascii="Times New Roman" w:hAnsi="Times New Roman"/>
        </w:rPr>
        <w:t xml:space="preserve">Varices </w:t>
      </w:r>
      <w:r>
        <w:rPr>
          <w:rFonts w:ascii="Times New Roman" w:hAnsi="Times New Roman"/>
        </w:rPr>
        <w:t>œsophagiennes</w:t>
      </w:r>
      <w:r>
        <w:rPr>
          <w:rFonts w:ascii="Times New Roman" w:hAnsi="Times New Roman"/>
        </w:rPr>
        <w:t xml:space="preserve"> (VO) : </w:t>
      </w:r>
      <w:r>
        <w:rPr>
          <w:rFonts w:ascii="Times New Roman" w:hAnsi="Times New Roman"/>
          <w:i/>
        </w:rPr>
        <w:t>anastomose porto-cave supérieur</w:t>
      </w:r>
    </w:p>
    <w:p>
      <w:pPr>
        <w:numPr>
          <w:ilvl w:val="3"/>
          <w:numId w:val="53"/>
        </w:numPr>
      </w:pPr>
      <w:r>
        <w:rPr>
          <w:rFonts w:ascii="Times New Roman" w:hAnsi="Times New Roman"/>
        </w:rPr>
        <w:t>Sous forme de cordon bleuté de taille variable</w:t>
      </w:r>
    </w:p>
    <w:p>
      <w:pPr>
        <w:numPr>
          <w:ilvl w:val="3"/>
          <w:numId w:val="53"/>
        </w:numPr>
      </w:pPr>
      <w:r>
        <w:rPr>
          <w:rFonts w:ascii="Times New Roman" w:hAnsi="Times New Roman"/>
        </w:rPr>
        <w:t>Retrouvés essentiellement au niveau du 1/3 inférieur de l’</w:t>
      </w:r>
      <w:r>
        <w:rPr>
          <w:rFonts w:ascii="Times New Roman" w:hAnsi="Times New Roman"/>
        </w:rPr>
        <w:t>œsophage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; </w:t>
      </w:r>
      <w:r>
        <w:rPr>
          <w:rFonts w:ascii="Times New Roman" w:hAnsi="Times New Roman"/>
          <w:i/>
        </w:rPr>
        <w:t>mais si sans traitement, peuvent remonter</w:t>
      </w:r>
    </w:p>
    <w:p>
      <w:pPr/>
      <w:r>
        <w:drawing>
          <wp:inline xmlns:a="http://schemas.openxmlformats.org/drawingml/2006/main" xmlns:pic="http://schemas.openxmlformats.org/drawingml/2006/picture">
            <wp:extent cx="18173700" cy="136017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173700" cy="13601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4"/>
          <w:numId w:val="53"/>
        </w:numPr>
      </w:pPr>
      <w:r>
        <w:rPr>
          <w:rFonts w:ascii="Times New Roman" w:hAnsi="Times New Roman"/>
          <w:i/>
        </w:rPr>
        <w:t>Noter les signes rouges : signe de pré-rupture</w:t>
      </w:r>
    </w:p>
    <w:p>
      <w:pPr>
        <w:numPr>
          <w:ilvl w:val="3"/>
          <w:numId w:val="53"/>
        </w:numPr>
      </w:pPr>
      <w:r>
        <w:rPr>
          <w:rFonts w:ascii="Times New Roman" w:hAnsi="Times New Roman"/>
          <w:b/>
        </w:rPr>
        <w:t>Grades :</w:t>
      </w:r>
    </w:p>
    <w:p>
      <w:pPr>
        <w:numPr>
          <w:ilvl w:val="4"/>
          <w:numId w:val="53"/>
        </w:numPr>
      </w:pPr>
      <w:r>
        <w:rPr>
          <w:rFonts w:ascii="Times New Roman" w:hAnsi="Times New Roman"/>
          <w:b/>
        </w:rPr>
        <w:t>Grade 1 :</w:t>
      </w:r>
    </w:p>
    <w:p>
      <w:pPr>
        <w:numPr>
          <w:ilvl w:val="5"/>
          <w:numId w:val="53"/>
        </w:numPr>
      </w:pPr>
      <w:r>
        <w:rPr>
          <w:rFonts w:ascii="Times New Roman" w:hAnsi="Times New Roman"/>
        </w:rPr>
        <w:t>Petites VO &lt; 5mm de diamètre</w:t>
      </w:r>
    </w:p>
    <w:p>
      <w:pPr>
        <w:numPr>
          <w:ilvl w:val="5"/>
          <w:numId w:val="53"/>
        </w:numPr>
      </w:pPr>
      <w:r>
        <w:rPr>
          <w:rFonts w:ascii="Times New Roman" w:hAnsi="Times New Roman"/>
        </w:rPr>
        <w:t>Disparition à l’insufflation (</w:t>
      </w:r>
      <w:r>
        <w:rPr>
          <w:rFonts w:ascii="Times New Roman" w:hAnsi="Times New Roman"/>
          <w:i/>
        </w:rPr>
        <w:t>insufflation</w:t>
      </w:r>
      <w:r>
        <w:rPr>
          <w:rFonts w:ascii="Times New Roman" w:hAnsi="Times New Roman"/>
          <w:i/>
        </w:rPr>
        <w:t xml:space="preserve"> pour dilater la muqueuse lors de la FD)</w:t>
      </w:r>
    </w:p>
    <w:p>
      <w:pPr>
        <w:numPr>
          <w:ilvl w:val="4"/>
          <w:numId w:val="53"/>
        </w:numPr>
      </w:pPr>
      <w:r>
        <w:rPr>
          <w:rFonts w:ascii="Times New Roman" w:hAnsi="Times New Roman"/>
          <w:b/>
        </w:rPr>
        <w:t>Grade 2 :</w:t>
      </w:r>
    </w:p>
    <w:p>
      <w:pPr>
        <w:numPr>
          <w:ilvl w:val="5"/>
          <w:numId w:val="53"/>
        </w:numPr>
      </w:pPr>
      <w:r>
        <w:rPr>
          <w:rFonts w:ascii="Times New Roman" w:hAnsi="Times New Roman"/>
        </w:rPr>
        <w:t>Grosse VO &gt; 5mm de diamètre</w:t>
      </w:r>
    </w:p>
    <w:p>
      <w:pPr>
        <w:numPr>
          <w:ilvl w:val="5"/>
          <w:numId w:val="53"/>
        </w:numPr>
      </w:pPr>
      <w:r>
        <w:rPr>
          <w:rFonts w:ascii="Times New Roman" w:hAnsi="Times New Roman"/>
        </w:rPr>
        <w:t>Ne disparaissant insufflation</w:t>
      </w:r>
    </w:p>
    <w:p>
      <w:pPr>
        <w:numPr>
          <w:ilvl w:val="5"/>
          <w:numId w:val="53"/>
        </w:numPr>
      </w:pPr>
      <w:r>
        <w:rPr>
          <w:rFonts w:ascii="Times New Roman" w:hAnsi="Times New Roman"/>
        </w:rPr>
        <w:t>Non confluentes (</w:t>
      </w:r>
      <w:r>
        <w:rPr>
          <w:rFonts w:ascii="Times New Roman" w:hAnsi="Times New Roman"/>
          <w:i/>
        </w:rPr>
        <w:t>cordons séparés les uns des autres)</w:t>
      </w:r>
    </w:p>
    <w:p>
      <w:pPr>
        <w:numPr>
          <w:ilvl w:val="4"/>
          <w:numId w:val="53"/>
        </w:numPr>
      </w:pPr>
      <w:r>
        <w:rPr>
          <w:rFonts w:ascii="Times New Roman" w:hAnsi="Times New Roman"/>
          <w:b/>
        </w:rPr>
        <w:t xml:space="preserve">Grade 3 : </w:t>
      </w:r>
    </w:p>
    <w:p>
      <w:pPr>
        <w:numPr>
          <w:ilvl w:val="5"/>
          <w:numId w:val="53"/>
        </w:numPr>
      </w:pPr>
      <w:r>
        <w:rPr>
          <w:rFonts w:ascii="Times New Roman" w:hAnsi="Times New Roman"/>
        </w:rPr>
        <w:t>Grosses varices confluentes</w:t>
      </w:r>
    </w:p>
    <w:p>
      <w:pPr>
        <w:numPr>
          <w:ilvl w:val="3"/>
          <w:numId w:val="53"/>
        </w:numPr>
      </w:pPr>
      <w:r>
        <w:rPr>
          <w:rFonts w:ascii="Times New Roman" w:hAnsi="Times New Roman"/>
        </w:rPr>
        <w:t>Le risque hémorragique :</w:t>
      </w:r>
    </w:p>
    <w:p>
      <w:pPr>
        <w:numPr>
          <w:ilvl w:val="4"/>
          <w:numId w:val="53"/>
        </w:numPr>
      </w:pPr>
      <w:r>
        <w:rPr>
          <w:rFonts w:ascii="Times New Roman" w:hAnsi="Times New Roman"/>
        </w:rPr>
        <w:t>Corrélé</w:t>
      </w:r>
      <w:r>
        <w:rPr>
          <w:rFonts w:ascii="Times New Roman" w:hAnsi="Times New Roman"/>
        </w:rPr>
        <w:t xml:space="preserve"> à la taille</w:t>
      </w:r>
    </w:p>
    <w:p>
      <w:pPr>
        <w:numPr>
          <w:ilvl w:val="4"/>
          <w:numId w:val="53"/>
        </w:numPr>
      </w:pPr>
      <w:r>
        <w:rPr>
          <w:rFonts w:ascii="Times New Roman" w:hAnsi="Times New Roman"/>
        </w:rPr>
        <w:t>Et la présence de signe pariétal (signe rouge)</w:t>
      </w:r>
    </w:p>
    <w:p>
      <w:pPr>
        <w:numPr>
          <w:ilvl w:val="5"/>
          <w:numId w:val="53"/>
        </w:numPr>
      </w:pPr>
      <w:r>
        <w:rPr>
          <w:rFonts w:ascii="Times New Roman" w:hAnsi="Times New Roman"/>
        </w:rPr>
        <w:t>Macules</w:t>
      </w:r>
    </w:p>
    <w:p>
      <w:pPr>
        <w:numPr>
          <w:ilvl w:val="5"/>
          <w:numId w:val="53"/>
        </w:numPr>
      </w:pPr>
      <w:r>
        <w:rPr>
          <w:rFonts w:ascii="Times New Roman" w:hAnsi="Times New Roman"/>
        </w:rPr>
        <w:t xml:space="preserve">Zébrures </w:t>
      </w:r>
      <w:r>
        <w:rPr>
          <w:rFonts w:ascii="Times New Roman" w:hAnsi="Times New Roman"/>
        </w:rPr>
        <w:br/>
      </w:r>
    </w:p>
    <w:p>
      <w:pPr>
        <w:pStyle w:val="Heading4"/>
        <w:numPr>
          <w:ilvl w:val="0"/>
          <w:numId w:val="55"/>
        </w:numPr>
      </w:pPr>
      <w:r>
        <w:rPr>
          <w:rFonts w:ascii="Times New Roman" w:hAnsi="Times New Roman"/>
        </w:rPr>
        <w:t>Autres examens paracliniques</w:t>
      </w:r>
    </w:p>
    <w:p>
      <w:pPr>
        <w:pStyle w:val="Heading5"/>
      </w:pPr>
      <w:r>
        <w:rPr/>
        <w:t>Scannographie / IRM avec injection de produit de contraste :</w:t>
      </w:r>
    </w:p>
    <w:p>
      <w:pPr>
        <w:numPr>
          <w:ilvl w:val="3"/>
          <w:numId w:val="53"/>
        </w:numPr>
      </w:pPr>
      <w:r>
        <w:rPr>
          <w:rFonts w:ascii="Times New Roman" w:hAnsi="Times New Roman"/>
        </w:rPr>
        <w:t>Dilatation du tronc porte</w:t>
      </w:r>
    </w:p>
    <w:p>
      <w:pPr>
        <w:numPr>
          <w:ilvl w:val="3"/>
          <w:numId w:val="53"/>
        </w:numPr>
      </w:pPr>
      <w:r>
        <w:rPr>
          <w:rFonts w:ascii="Times New Roman" w:hAnsi="Times New Roman"/>
        </w:rPr>
        <w:t>Dilatation des vaisseaux : anastomose porto-cave : dilatation de la</w:t>
      </w:r>
    </w:p>
    <w:p>
      <w:pPr>
        <w:numPr>
          <w:ilvl w:val="4"/>
          <w:numId w:val="53"/>
        </w:numPr>
      </w:pPr>
      <w:r>
        <w:rPr>
          <w:rFonts w:ascii="Times New Roman" w:hAnsi="Times New Roman"/>
        </w:rPr>
        <w:t xml:space="preserve">Veine gastrique </w:t>
      </w:r>
    </w:p>
    <w:p>
      <w:pPr>
        <w:numPr>
          <w:ilvl w:val="4"/>
          <w:numId w:val="53"/>
        </w:numPr>
      </w:pPr>
      <w:r>
        <w:rPr>
          <w:rFonts w:ascii="Times New Roman" w:hAnsi="Times New Roman"/>
        </w:rPr>
        <w:t>Veine para-ombilicale</w:t>
      </w:r>
    </w:p>
    <w:p>
      <w:pPr>
        <w:numPr>
          <w:ilvl w:val="4"/>
          <w:numId w:val="53"/>
        </w:numPr>
      </w:pPr>
      <w:r>
        <w:rPr>
          <w:rFonts w:ascii="Times New Roman" w:hAnsi="Times New Roman"/>
        </w:rPr>
        <w:t xml:space="preserve">Veine </w:t>
      </w:r>
      <w:r>
        <w:rPr>
          <w:rFonts w:ascii="Times New Roman" w:hAnsi="Times New Roman"/>
        </w:rPr>
        <w:t>spléno</w:t>
      </w:r>
      <w:r>
        <w:rPr>
          <w:rFonts w:ascii="Times New Roman" w:hAnsi="Times New Roman"/>
        </w:rPr>
        <w:t>-rénale</w:t>
      </w:r>
    </w:p>
    <w:p>
      <w:pPr>
        <w:pStyle w:val="Heading5"/>
      </w:pPr>
      <w:r>
        <w:rPr/>
        <w:t xml:space="preserve">Laparoscopie </w:t>
      </w:r>
    </w:p>
    <w:p>
      <w:pPr>
        <w:numPr>
          <w:ilvl w:val="3"/>
          <w:numId w:val="53"/>
        </w:numPr>
      </w:pPr>
      <w:r>
        <w:rPr>
          <w:rFonts w:ascii="Times New Roman" w:hAnsi="Times New Roman"/>
        </w:rPr>
        <w:t>Hypervascularisation péritonéale, en particulier, un développement anormal de la</w:t>
      </w:r>
    </w:p>
    <w:p>
      <w:pPr>
        <w:numPr>
          <w:ilvl w:val="4"/>
          <w:numId w:val="53"/>
        </w:numPr>
      </w:pPr>
      <w:r>
        <w:rPr>
          <w:rFonts w:ascii="Times New Roman" w:hAnsi="Times New Roman"/>
        </w:rPr>
        <w:t>Veine épiploïque (très dilatée)</w:t>
      </w:r>
    </w:p>
    <w:p>
      <w:pPr>
        <w:numPr>
          <w:ilvl w:val="4"/>
          <w:numId w:val="53"/>
        </w:numPr>
      </w:pPr>
      <w:r>
        <w:rPr>
          <w:rFonts w:ascii="Times New Roman" w:hAnsi="Times New Roman"/>
        </w:rPr>
        <w:t>Veine du ligament rond (= ligament falciforme)</w:t>
      </w:r>
    </w:p>
    <w:p>
      <w:pPr>
        <w:numPr>
          <w:ilvl w:val="4"/>
          <w:numId w:val="53"/>
        </w:numPr>
      </w:pPr>
      <w:r>
        <w:rPr>
          <w:rFonts w:ascii="Times New Roman" w:hAnsi="Times New Roman"/>
        </w:rPr>
        <w:t xml:space="preserve">Veine du ligament </w:t>
      </w:r>
      <w:r>
        <w:rPr>
          <w:rFonts w:ascii="Times New Roman" w:hAnsi="Times New Roman"/>
        </w:rPr>
        <w:t>phréno</w:t>
      </w:r>
      <w:r>
        <w:rPr>
          <w:rFonts w:ascii="Times New Roman" w:hAnsi="Times New Roman"/>
        </w:rPr>
        <w:t>-colique</w:t>
      </w:r>
      <w:r>
        <w:rPr>
          <w:rFonts w:ascii="Times New Roman" w:hAnsi="Times New Roman"/>
        </w:rPr>
        <w:br/>
      </w:r>
    </w:p>
    <w:p>
      <w:pPr>
        <w:pStyle w:val="Heading5"/>
      </w:pPr>
      <w:r>
        <w:rPr/>
        <w:t>Manométrie par voie trans-jugulaire</w:t>
      </w:r>
    </w:p>
    <w:p>
      <w:pPr>
        <w:numPr>
          <w:ilvl w:val="3"/>
          <w:numId w:val="53"/>
        </w:numPr>
      </w:pPr>
      <w:r>
        <w:rPr>
          <w:rFonts w:ascii="Times New Roman" w:hAnsi="Times New Roman"/>
        </w:rPr>
        <w:t>Objective :</w:t>
      </w:r>
    </w:p>
    <w:p>
      <w:pPr>
        <w:numPr>
          <w:ilvl w:val="4"/>
          <w:numId w:val="53"/>
        </w:numPr>
      </w:pPr>
      <w:r>
        <w:rPr>
          <w:rFonts w:ascii="Times New Roman" w:hAnsi="Times New Roman"/>
        </w:rPr>
        <w:t>La pression portale</w:t>
      </w:r>
    </w:p>
    <w:p>
      <w:pPr>
        <w:numPr>
          <w:ilvl w:val="4"/>
          <w:numId w:val="53"/>
        </w:numPr>
      </w:pPr>
      <w:r>
        <w:rPr>
          <w:rFonts w:ascii="Times New Roman" w:hAnsi="Times New Roman"/>
        </w:rPr>
        <w:t>La pression cave</w:t>
      </w:r>
      <w:r>
        <w:rPr>
          <w:rFonts w:ascii="Times New Roman" w:hAnsi="Times New Roman"/>
        </w:rPr>
        <w:br/>
      </w:r>
    </w:p>
    <w:p>
      <w:pPr>
        <w:pStyle w:val="Heading3"/>
        <w:numPr>
          <w:ilvl w:val="0"/>
          <w:numId w:val="4"/>
        </w:numPr>
      </w:pPr>
      <w:r>
        <w:rPr>
          <w:rFonts w:ascii="Times New Roman" w:hAnsi="Times New Roman"/>
        </w:rPr>
        <w:t>Evolution et complications :</w:t>
      </w:r>
    </w:p>
    <w:p>
      <w:pPr>
        <w:pStyle w:val="Heading4"/>
      </w:pPr>
      <w:r>
        <w:rPr>
          <w:rFonts w:ascii="Times New Roman" w:hAnsi="Times New Roman"/>
        </w:rPr>
        <w:t>Hémorragies digestives :</w:t>
      </w:r>
    </w:p>
    <w:p>
      <w:pPr>
        <w:numPr>
          <w:ilvl w:val="2"/>
          <w:numId w:val="54"/>
        </w:numPr>
      </w:pPr>
      <w:r>
        <w:rPr>
          <w:rFonts w:ascii="Times New Roman" w:hAnsi="Times New Roman"/>
        </w:rPr>
        <w:t>Complication redoutable</w:t>
      </w:r>
    </w:p>
    <w:p>
      <w:pPr>
        <w:numPr>
          <w:ilvl w:val="2"/>
          <w:numId w:val="54"/>
        </w:numPr>
      </w:pPr>
      <w:r>
        <w:rPr>
          <w:rFonts w:ascii="Times New Roman" w:hAnsi="Times New Roman"/>
        </w:rPr>
        <w:t>Rupture</w:t>
      </w:r>
    </w:p>
    <w:p>
      <w:pPr>
        <w:numPr>
          <w:ilvl w:val="3"/>
          <w:numId w:val="54"/>
        </w:numPr>
      </w:pPr>
      <w:r>
        <w:rPr>
          <w:rFonts w:ascii="Times New Roman" w:hAnsi="Times New Roman"/>
        </w:rPr>
        <w:t xml:space="preserve">De varices </w:t>
      </w:r>
      <w:r>
        <w:rPr>
          <w:rFonts w:ascii="Times New Roman" w:hAnsi="Times New Roman"/>
        </w:rPr>
        <w:t>oesophagiennes</w:t>
      </w:r>
      <w:r>
        <w:rPr>
          <w:rFonts w:ascii="Times New Roman" w:hAnsi="Times New Roman"/>
        </w:rPr>
        <w:t xml:space="preserve"> (</w:t>
      </w:r>
      <w:r>
        <w:rPr>
          <w:rFonts w:ascii="Times New Roman" w:hAnsi="Times New Roman"/>
          <w:i/>
        </w:rPr>
        <w:t xml:space="preserve">le patient peut </w:t>
      </w:r>
      <w:r>
        <w:rPr>
          <w:rFonts w:ascii="Times New Roman" w:hAnsi="Times New Roman"/>
          <w:i/>
        </w:rPr>
        <w:t>mourrir</w:t>
      </w:r>
      <w:r>
        <w:rPr>
          <w:rFonts w:ascii="Times New Roman" w:hAnsi="Times New Roman"/>
          <w:i/>
        </w:rPr>
        <w:t xml:space="preserve"> en 4 - 5 vomissements, 500-750 cc / vomissement -&gt; choc hypovolémique -&gt; décès</w:t>
      </w:r>
      <w:r>
        <w:rPr>
          <w:rFonts w:ascii="Times New Roman" w:hAnsi="Times New Roman"/>
          <w:i/>
        </w:rPr>
        <w:t>)</w:t>
      </w:r>
      <w:r>
        <w:rPr>
          <w:rFonts w:ascii="Times New Roman" w:hAnsi="Times New Roman"/>
        </w:rPr>
        <w:t>, des</w:t>
      </w:r>
      <w:r>
        <w:rPr>
          <w:rFonts w:ascii="Times New Roman" w:hAnsi="Times New Roman"/>
        </w:rPr>
        <w:t xml:space="preserve"> varices gastriques :</w:t>
      </w:r>
    </w:p>
    <w:p>
      <w:pPr>
        <w:numPr>
          <w:ilvl w:val="3"/>
          <w:numId w:val="54"/>
        </w:numPr>
      </w:pPr>
      <w:r>
        <w:rPr>
          <w:rFonts w:ascii="Times New Roman" w:hAnsi="Times New Roman"/>
        </w:rPr>
        <w:t>Autres : lésions des muqueuses (ulcère)</w:t>
      </w:r>
    </w:p>
    <w:p>
      <w:pPr>
        <w:numPr>
          <w:ilvl w:val="2"/>
          <w:numId w:val="54"/>
        </w:numPr>
      </w:pPr>
      <w:r>
        <w:rPr>
          <w:rFonts w:ascii="Times New Roman" w:hAnsi="Times New Roman"/>
        </w:rPr>
        <w:t>Cliniquement : hématémèse suivie de méléna</w:t>
      </w:r>
    </w:p>
    <w:p>
      <w:pPr>
        <w:numPr>
          <w:ilvl w:val="2"/>
          <w:numId w:val="54"/>
        </w:numPr>
      </w:pPr>
      <w:r>
        <w:rPr>
          <w:rFonts w:ascii="Times New Roman" w:hAnsi="Times New Roman"/>
        </w:rPr>
        <w:t>Ou parfois, méléna isolé</w:t>
      </w:r>
      <w:r>
        <w:rPr>
          <w:rFonts w:ascii="Times New Roman" w:hAnsi="Times New Roman"/>
        </w:rPr>
        <w:br/>
      </w:r>
    </w:p>
    <w:p>
      <w:pPr>
        <w:ind w:left="360"/>
      </w:pPr>
    </w:p>
    <w:p>
      <w:pPr>
        <w:pStyle w:val="Heading2"/>
      </w:pPr>
      <w:r>
        <w:rPr>
          <w:rFonts w:ascii="Times New Roman" w:hAnsi="Times New Roman"/>
        </w:rPr>
        <w:t>ETIOLOGIES :</w:t>
      </w:r>
    </w:p>
    <w:p>
      <w:pPr>
        <w:numPr>
          <w:ilvl w:val="0"/>
          <w:numId w:val="5"/>
        </w:numPr>
      </w:pPr>
      <w:r>
        <w:rPr>
          <w:rFonts w:ascii="Times New Roman" w:hAnsi="Times New Roman"/>
        </w:rPr>
        <w:t xml:space="preserve">HTP : Secondaire à un obstacle à la circulation porto-hépatique </w:t>
      </w:r>
    </w:p>
    <w:p>
      <w:pPr>
        <w:numPr>
          <w:ilvl w:val="0"/>
          <w:numId w:val="5"/>
        </w:numPr>
      </w:pPr>
      <w:r>
        <w:rPr>
          <w:rFonts w:ascii="Times New Roman" w:hAnsi="Times New Roman"/>
        </w:rPr>
        <w:t>Obstacle :</w:t>
      </w:r>
    </w:p>
    <w:p>
      <w:pPr>
        <w:numPr>
          <w:ilvl w:val="1"/>
          <w:numId w:val="5"/>
        </w:numPr>
      </w:pPr>
      <w:r>
        <w:rPr>
          <w:rFonts w:ascii="Times New Roman" w:hAnsi="Times New Roman"/>
        </w:rPr>
        <w:t>Au-dessous</w:t>
      </w:r>
      <w:r>
        <w:rPr>
          <w:rFonts w:ascii="Times New Roman" w:hAnsi="Times New Roman"/>
        </w:rPr>
        <w:t xml:space="preserve"> du foie :</w:t>
      </w:r>
    </w:p>
    <w:p>
      <w:pPr>
        <w:numPr>
          <w:ilvl w:val="2"/>
          <w:numId w:val="5"/>
        </w:numPr>
      </w:pPr>
      <w:r>
        <w:rPr>
          <w:rFonts w:ascii="Times New Roman" w:hAnsi="Times New Roman"/>
        </w:rPr>
        <w:t xml:space="preserve">Bloc </w:t>
      </w:r>
      <w:r>
        <w:rPr>
          <w:rFonts w:ascii="Times New Roman" w:hAnsi="Times New Roman"/>
        </w:rPr>
        <w:t>infra-hépatique</w:t>
      </w:r>
      <w:r>
        <w:rPr>
          <w:rFonts w:ascii="Times New Roman" w:hAnsi="Times New Roman"/>
        </w:rPr>
        <w:t xml:space="preserve"> ou sous hépatique</w:t>
      </w:r>
    </w:p>
    <w:p>
      <w:pPr>
        <w:numPr>
          <w:ilvl w:val="1"/>
          <w:numId w:val="5"/>
        </w:numPr>
      </w:pPr>
      <w:r>
        <w:rPr>
          <w:rFonts w:ascii="Times New Roman" w:hAnsi="Times New Roman"/>
        </w:rPr>
        <w:t>À l’intérieur du foie</w:t>
      </w:r>
    </w:p>
    <w:p>
      <w:pPr>
        <w:numPr>
          <w:ilvl w:val="2"/>
          <w:numId w:val="5"/>
        </w:numPr>
      </w:pPr>
      <w:r>
        <w:rPr>
          <w:rFonts w:ascii="Times New Roman" w:hAnsi="Times New Roman"/>
        </w:rPr>
        <w:t>Bloc intra-hépatique</w:t>
      </w:r>
    </w:p>
    <w:p>
      <w:pPr>
        <w:numPr>
          <w:ilvl w:val="1"/>
          <w:numId w:val="5"/>
        </w:numPr>
      </w:pPr>
      <w:r>
        <w:rPr>
          <w:rFonts w:ascii="Times New Roman" w:hAnsi="Times New Roman"/>
        </w:rPr>
        <w:t>Au-dessus</w:t>
      </w:r>
      <w:r>
        <w:rPr>
          <w:rFonts w:ascii="Times New Roman" w:hAnsi="Times New Roman"/>
        </w:rPr>
        <w:t xml:space="preserve"> du foie :</w:t>
      </w:r>
    </w:p>
    <w:p>
      <w:pPr>
        <w:numPr>
          <w:ilvl w:val="2"/>
          <w:numId w:val="5"/>
        </w:numPr>
      </w:pPr>
      <w:r>
        <w:rPr>
          <w:rFonts w:ascii="Times New Roman" w:hAnsi="Times New Roman"/>
        </w:rPr>
        <w:t>Bloc supra-hépatique ou post-hépatique</w:t>
      </w:r>
      <w:r>
        <w:rPr>
          <w:rFonts w:ascii="Times New Roman" w:hAnsi="Times New Roman"/>
        </w:rPr>
        <w:br/>
      </w:r>
    </w:p>
    <w:p>
      <w:pPr>
        <w:pStyle w:val="Heading3"/>
        <w:numPr>
          <w:ilvl w:val="0"/>
          <w:numId w:val="56"/>
        </w:numPr>
      </w:pPr>
      <w:r>
        <w:rPr>
          <w:rFonts w:ascii="Times New Roman" w:hAnsi="Times New Roman"/>
        </w:rPr>
        <w:t>BLOC INFRA-HEPATIQUE : PRE-HEPATIQUE</w:t>
      </w:r>
    </w:p>
    <w:p>
      <w:pPr>
        <w:pStyle w:val="Heading4"/>
        <w:numPr>
          <w:ilvl w:val="0"/>
          <w:numId w:val="57"/>
        </w:numPr>
      </w:pPr>
      <w:r>
        <w:rPr>
          <w:rFonts w:ascii="Times New Roman" w:hAnsi="Times New Roman"/>
        </w:rPr>
        <w:t>Thrombose de la veine porte</w:t>
      </w:r>
    </w:p>
    <w:p>
      <w:pPr>
        <w:numPr>
          <w:ilvl w:val="1"/>
          <w:numId w:val="6"/>
        </w:numPr>
      </w:pPr>
      <w:r>
        <w:rPr>
          <w:rFonts w:ascii="Times New Roman" w:hAnsi="Times New Roman"/>
        </w:rPr>
        <w:t>C’est</w:t>
      </w:r>
      <w:r>
        <w:rPr>
          <w:rFonts w:ascii="Times New Roman" w:hAnsi="Times New Roman"/>
        </w:rPr>
        <w:t xml:space="preserve"> la principale cause sous-hépatique</w:t>
      </w:r>
    </w:p>
    <w:p>
      <w:pPr>
        <w:pStyle w:val="Heading4"/>
        <w:numPr>
          <w:ilvl w:val="0"/>
          <w:numId w:val="57"/>
        </w:numPr>
      </w:pPr>
      <w:r>
        <w:rPr>
          <w:rFonts w:ascii="Times New Roman" w:hAnsi="Times New Roman"/>
        </w:rPr>
        <w:t>Invasion néoplasique luminale</w:t>
      </w:r>
    </w:p>
    <w:p>
      <w:pPr>
        <w:numPr>
          <w:ilvl w:val="1"/>
          <w:numId w:val="6"/>
        </w:numPr>
      </w:pPr>
      <w:r>
        <w:rPr>
          <w:rFonts w:ascii="Times New Roman" w:hAnsi="Times New Roman"/>
        </w:rPr>
        <w:t>Secondaire à un cancer du foie (</w:t>
      </w:r>
      <w:r>
        <w:rPr>
          <w:rFonts w:ascii="Times New Roman" w:hAnsi="Times New Roman"/>
          <w:i/>
        </w:rPr>
        <w:t>la tumeur du foie se développe à l’intérieur de la lumière du tronc porte)</w:t>
      </w:r>
    </w:p>
    <w:p>
      <w:pPr>
        <w:pStyle w:val="Heading4"/>
        <w:numPr>
          <w:ilvl w:val="0"/>
          <w:numId w:val="57"/>
        </w:numPr>
      </w:pPr>
      <w:r>
        <w:rPr>
          <w:rFonts w:ascii="Times New Roman" w:hAnsi="Times New Roman"/>
        </w:rPr>
        <w:t>Malformations congénitales</w:t>
      </w:r>
    </w:p>
    <w:p>
      <w:pPr>
        <w:numPr>
          <w:ilvl w:val="1"/>
          <w:numId w:val="6"/>
        </w:numPr>
      </w:pPr>
      <w:r>
        <w:rPr>
          <w:rFonts w:ascii="Times New Roman" w:hAnsi="Times New Roman"/>
        </w:rPr>
        <w:t>Surtout chez l’enfant</w:t>
      </w:r>
    </w:p>
    <w:p>
      <w:pPr>
        <w:pStyle w:val="Heading4"/>
        <w:numPr>
          <w:ilvl w:val="0"/>
          <w:numId w:val="57"/>
        </w:numPr>
      </w:pPr>
      <w:r>
        <w:rPr>
          <w:rFonts w:ascii="Times New Roman" w:hAnsi="Times New Roman"/>
        </w:rPr>
        <w:t>Compressions :</w:t>
      </w:r>
    </w:p>
    <w:p>
      <w:pPr>
        <w:numPr>
          <w:ilvl w:val="1"/>
          <w:numId w:val="6"/>
        </w:numPr>
      </w:pPr>
      <w:r>
        <w:rPr>
          <w:rFonts w:ascii="Times New Roman" w:hAnsi="Times New Roman"/>
        </w:rPr>
        <w:t>Par des cancers : pancréas, estomac</w:t>
      </w:r>
    </w:p>
    <w:p>
      <w:pPr>
        <w:numPr>
          <w:ilvl w:val="1"/>
          <w:numId w:val="6"/>
        </w:numPr>
      </w:pPr>
      <w:r>
        <w:rPr>
          <w:rFonts w:ascii="Times New Roman" w:hAnsi="Times New Roman"/>
        </w:rPr>
        <w:t>Pancréatite chronique (</w:t>
      </w:r>
      <w:r>
        <w:rPr>
          <w:rFonts w:ascii="Times New Roman" w:hAnsi="Times New Roman"/>
          <w:i/>
        </w:rPr>
        <w:t>comprimant le tronc porte)</w:t>
      </w:r>
    </w:p>
    <w:p>
      <w:pPr>
        <w:numPr>
          <w:ilvl w:val="1"/>
          <w:numId w:val="6"/>
        </w:numPr>
      </w:pPr>
      <w:r>
        <w:rPr>
          <w:rFonts w:ascii="Times New Roman" w:hAnsi="Times New Roman"/>
        </w:rPr>
        <w:t>Adénopathies bénignes (tuberculeuse)</w:t>
      </w:r>
    </w:p>
    <w:p>
      <w:pPr>
        <w:numPr>
          <w:ilvl w:val="1"/>
          <w:numId w:val="6"/>
        </w:numPr>
      </w:pPr>
      <w:r>
        <w:rPr>
          <w:rFonts w:ascii="Times New Roman" w:hAnsi="Times New Roman"/>
        </w:rPr>
        <w:t>Adénopathie maligne</w:t>
      </w:r>
    </w:p>
    <w:p>
      <w:pPr/>
    </w:p>
    <w:p>
      <w:pPr>
        <w:pStyle w:val="Heading3"/>
        <w:numPr>
          <w:ilvl w:val="0"/>
          <w:numId w:val="56"/>
        </w:numPr>
      </w:pPr>
      <w:r>
        <w:rPr>
          <w:rFonts w:ascii="Times New Roman" w:hAnsi="Times New Roman"/>
        </w:rPr>
        <w:t>BLOC INTRA-HEPATIQUE</w:t>
      </w:r>
    </w:p>
    <w:p>
      <w:pPr>
        <w:numPr>
          <w:ilvl w:val="0"/>
          <w:numId w:val="7"/>
        </w:numPr>
      </w:pPr>
      <w:r>
        <w:rPr>
          <w:rFonts w:ascii="Times New Roman" w:hAnsi="Times New Roman"/>
          <w:b/>
        </w:rPr>
        <w:t>Cirrhose du foie +++</w:t>
      </w:r>
    </w:p>
    <w:p>
      <w:pPr>
        <w:numPr>
          <w:ilvl w:val="1"/>
          <w:numId w:val="7"/>
        </w:numPr>
      </w:pPr>
      <w:r>
        <w:rPr>
          <w:rFonts w:ascii="Times New Roman" w:hAnsi="Times New Roman"/>
        </w:rPr>
        <w:t>Toutes étiologies confondues</w:t>
      </w:r>
    </w:p>
    <w:p>
      <w:pPr>
        <w:numPr>
          <w:ilvl w:val="0"/>
          <w:numId w:val="7"/>
        </w:numPr>
      </w:pPr>
      <w:r>
        <w:rPr>
          <w:rFonts w:ascii="Times New Roman" w:hAnsi="Times New Roman"/>
          <w:b/>
        </w:rPr>
        <w:t>Bilharziose hépatique</w:t>
      </w:r>
    </w:p>
    <w:p>
      <w:pPr>
        <w:numPr>
          <w:ilvl w:val="0"/>
          <w:numId w:val="7"/>
        </w:numPr>
      </w:pPr>
      <w:r>
        <w:rPr>
          <w:rFonts w:ascii="Times New Roman" w:hAnsi="Times New Roman"/>
          <w:b/>
        </w:rPr>
        <w:t>Fibrose hépatique congénitale</w:t>
      </w:r>
    </w:p>
    <w:p>
      <w:pPr>
        <w:numPr>
          <w:ilvl w:val="0"/>
          <w:numId w:val="7"/>
        </w:numPr>
      </w:pPr>
      <w:r>
        <w:rPr>
          <w:rFonts w:ascii="Times New Roman" w:hAnsi="Times New Roman"/>
          <w:b/>
        </w:rPr>
        <w:t xml:space="preserve">Sclérose </w:t>
      </w:r>
      <w:r>
        <w:rPr>
          <w:rFonts w:ascii="Times New Roman" w:hAnsi="Times New Roman"/>
          <w:b/>
        </w:rPr>
        <w:t>hépatorénale</w:t>
      </w:r>
    </w:p>
    <w:p>
      <w:pPr>
        <w:numPr>
          <w:ilvl w:val="0"/>
          <w:numId w:val="7"/>
        </w:numPr>
      </w:pPr>
      <w:r>
        <w:rPr>
          <w:rFonts w:ascii="Times New Roman" w:hAnsi="Times New Roman"/>
          <w:b/>
        </w:rPr>
        <w:t xml:space="preserve">Cirrhose </w:t>
      </w:r>
      <w:r>
        <w:rPr>
          <w:rFonts w:ascii="Times New Roman" w:hAnsi="Times New Roman"/>
          <w:b/>
        </w:rPr>
        <w:t>biliaire</w:t>
      </w:r>
      <w:r>
        <w:rPr>
          <w:rFonts w:ascii="Times New Roman" w:hAnsi="Times New Roman"/>
          <w:b/>
        </w:rPr>
        <w:t xml:space="preserve"> primitive et secondaire</w:t>
      </w:r>
    </w:p>
    <w:p>
      <w:pPr>
        <w:numPr>
          <w:ilvl w:val="0"/>
          <w:numId w:val="7"/>
        </w:numPr>
      </w:pPr>
      <w:r>
        <w:rPr>
          <w:rFonts w:ascii="Times New Roman" w:hAnsi="Times New Roman"/>
          <w:b/>
        </w:rPr>
        <w:t>Hyperplasie nodulaire régénérative</w:t>
      </w:r>
    </w:p>
    <w:p>
      <w:pPr>
        <w:pStyle w:val="Heading3"/>
        <w:numPr>
          <w:ilvl w:val="0"/>
          <w:numId w:val="56"/>
        </w:numPr>
      </w:pPr>
      <w:r>
        <w:rPr>
          <w:rFonts w:ascii="Times New Roman" w:hAnsi="Times New Roman"/>
        </w:rPr>
        <w:t>BLOC SUPRA-HEPATIQUE :</w:t>
      </w:r>
    </w:p>
    <w:p>
      <w:pPr>
        <w:pStyle w:val="Heading5"/>
      </w:pPr>
      <w:r>
        <w:rPr>
          <w:rFonts w:ascii="Times New Roman" w:hAnsi="Times New Roman"/>
        </w:rPr>
        <w:t xml:space="preserve">Syndrome de </w:t>
      </w:r>
      <w:r>
        <w:rPr>
          <w:rFonts w:ascii="Times New Roman" w:hAnsi="Times New Roman"/>
        </w:rPr>
        <w:t>Budd</w:t>
      </w:r>
      <w:r>
        <w:rPr>
          <w:rFonts w:ascii="Times New Roman" w:hAnsi="Times New Roman"/>
        </w:rPr>
        <w:t xml:space="preserve"> Chiari</w:t>
      </w:r>
    </w:p>
    <w:p>
      <w:pPr>
        <w:numPr>
          <w:ilvl w:val="1"/>
          <w:numId w:val="8"/>
        </w:numPr>
      </w:pPr>
      <w:r>
        <w:rPr>
          <w:rFonts w:ascii="Times New Roman" w:hAnsi="Times New Roman"/>
        </w:rPr>
        <w:t xml:space="preserve">Expliqué par </w:t>
      </w:r>
      <w:r>
        <w:rPr>
          <w:rFonts w:ascii="Times New Roman" w:hAnsi="Times New Roman"/>
          <w:b/>
        </w:rPr>
        <w:t>une obstruction</w:t>
      </w:r>
    </w:p>
    <w:p>
      <w:pPr>
        <w:numPr>
          <w:ilvl w:val="2"/>
          <w:numId w:val="8"/>
        </w:numPr>
      </w:pPr>
      <w:r>
        <w:rPr>
          <w:rFonts w:ascii="Times New Roman" w:hAnsi="Times New Roman"/>
        </w:rPr>
        <w:t xml:space="preserve">Des </w:t>
      </w:r>
      <w:r>
        <w:rPr>
          <w:rFonts w:ascii="Times New Roman" w:hAnsi="Times New Roman"/>
          <w:b/>
        </w:rPr>
        <w:t>veines sus-hépatiques</w:t>
      </w:r>
    </w:p>
    <w:p>
      <w:pPr>
        <w:numPr>
          <w:ilvl w:val="2"/>
          <w:numId w:val="8"/>
        </w:numPr>
      </w:pPr>
      <w:r>
        <w:rPr>
          <w:rFonts w:ascii="Times New Roman" w:hAnsi="Times New Roman"/>
        </w:rPr>
        <w:t xml:space="preserve">Parfois de la </w:t>
      </w:r>
      <w:r>
        <w:rPr>
          <w:rFonts w:ascii="Times New Roman" w:hAnsi="Times New Roman"/>
          <w:b/>
        </w:rPr>
        <w:t>veine cave inférieure</w:t>
      </w:r>
    </w:p>
    <w:p>
      <w:pPr>
        <w:numPr>
          <w:ilvl w:val="1"/>
          <w:numId w:val="8"/>
        </w:numPr>
      </w:pPr>
      <w:r>
        <w:rPr>
          <w:rFonts w:ascii="Times New Roman" w:hAnsi="Times New Roman"/>
          <w:b/>
        </w:rPr>
        <w:t>Causes</w:t>
      </w:r>
      <w:r>
        <w:rPr>
          <w:rFonts w:ascii="Times New Roman" w:hAnsi="Times New Roman"/>
        </w:rPr>
        <w:t xml:space="preserve"> :</w:t>
      </w:r>
    </w:p>
    <w:p>
      <w:pPr>
        <w:numPr>
          <w:ilvl w:val="2"/>
          <w:numId w:val="8"/>
        </w:numPr>
      </w:pPr>
      <w:r>
        <w:rPr>
          <w:rFonts w:ascii="Times New Roman" w:hAnsi="Times New Roman"/>
        </w:rPr>
        <w:t>Polycytémie</w:t>
      </w:r>
      <w:r>
        <w:rPr>
          <w:rFonts w:ascii="Times New Roman" w:hAnsi="Times New Roman"/>
        </w:rPr>
        <w:t xml:space="preserve"> (</w:t>
      </w:r>
      <w:r>
        <w:rPr>
          <w:rFonts w:ascii="Times New Roman" w:hAnsi="Times New Roman"/>
          <w:i/>
        </w:rPr>
        <w:t>maladie du sang caractérisé par l’augmentation du nombre des trois lignées : maladie de Vaquez (</w:t>
      </w:r>
      <w:r>
        <w:rPr>
          <w:rFonts w:ascii="Times New Roman" w:hAnsi="Times New Roman"/>
          <w:i/>
        </w:rPr>
        <w:t>polycytémie</w:t>
      </w:r>
      <w:r>
        <w:rPr>
          <w:rFonts w:ascii="Times New Roman" w:hAnsi="Times New Roman"/>
          <w:i/>
        </w:rPr>
        <w:t xml:space="preserve"> essentielle)</w:t>
      </w:r>
    </w:p>
    <w:p>
      <w:pPr>
        <w:numPr>
          <w:ilvl w:val="2"/>
          <w:numId w:val="8"/>
        </w:numPr>
      </w:pPr>
      <w:r>
        <w:rPr>
          <w:rFonts w:ascii="Times New Roman" w:hAnsi="Times New Roman"/>
        </w:rPr>
        <w:t>Extension d’un cancer du foie, d’un cancer du rein</w:t>
      </w:r>
    </w:p>
    <w:p>
      <w:pPr>
        <w:numPr>
          <w:ilvl w:val="2"/>
          <w:numId w:val="8"/>
        </w:numPr>
      </w:pPr>
      <w:r>
        <w:rPr>
          <w:rFonts w:ascii="Times New Roman" w:hAnsi="Times New Roman"/>
        </w:rPr>
        <w:t>Compression directe des veines sus-</w:t>
      </w:r>
      <w:r>
        <w:rPr>
          <w:rFonts w:ascii="Times New Roman" w:hAnsi="Times New Roman"/>
        </w:rPr>
        <w:t>hépatiques</w:t>
      </w:r>
      <w:r>
        <w:rPr>
          <w:rFonts w:ascii="Times New Roman" w:hAnsi="Times New Roman"/>
        </w:rPr>
      </w:r>
    </w:p>
    <w:p>
      <w:pPr>
        <w:spacing w:line="259" w:lineRule="auto"/>
      </w:pPr>
      <w:r>
        <w:rPr>
          <w:rFonts w:ascii="Times New Roman" w:hAnsi="Times New Roman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