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hypertension portale</w:t>
      </w:r>
    </w:p>
    <w:p>
      <w:pPr/>
      <w:r>
        <w:rPr/>
        <w:t>20/04/2026</w:t>
      </w:r>
    </w:p>
    <w:p>
      <w:pPr/>
      <w:r>
        <w:rPr/>
        <w:t xml:space="preserve">Dr </w:t>
      </w:r>
      <w:r>
        <w:rPr/>
        <w:t>Rinà</w:t>
      </w:r>
    </w:p>
    <w:p>
      <w:pPr>
        <w:pStyle w:val="Heading2"/>
      </w:pPr>
      <w:r>
        <w:rPr/>
        <w:t xml:space="preserve">Introduction </w:t>
      </w:r>
    </w:p>
    <w:p>
      <w:pPr>
        <w:pStyle w:val="Heading3"/>
      </w:pPr>
      <w:r>
        <w:rPr/>
        <w:t xml:space="preserve">Définition </w:t>
      </w:r>
    </w:p>
    <w:p>
      <w:pPr/>
      <w:r>
        <w:rPr/>
        <w:t xml:space="preserve"> Elévation pression portale sup. 15 mmHg </w:t>
      </w:r>
    </w:p>
    <w:p>
      <w:pPr/>
      <w:r>
        <w:rPr/>
        <w:t>Elévation différence pression cave et portale sup. 5 mmHg</w:t>
      </w:r>
    </w:p>
    <w:p>
      <w:pPr/>
      <w:r>
        <w:rPr/>
        <w:t>Secondaire : obstacle (bloc) système porte</w:t>
      </w:r>
    </w:p>
    <w:p>
      <w:pPr>
        <w:pStyle w:val="Heading3"/>
      </w:pPr>
      <w:r>
        <w:rPr/>
        <w:t>Intérêts</w:t>
      </w:r>
    </w:p>
    <w:p>
      <w:pPr/>
      <w:r>
        <w:rPr/>
        <w:t xml:space="preserve">Affection grave </w:t>
      </w:r>
    </w:p>
    <w:p>
      <w:pPr/>
      <w:r>
        <w:rPr/>
        <w:t xml:space="preserve">Complication : hémorragie digestive </w:t>
      </w:r>
    </w:p>
    <w:p>
      <w:pPr>
        <w:pStyle w:val="Heading3"/>
      </w:pPr>
      <w:r>
        <w:rPr/>
        <w:t>Physiopathologie</w:t>
      </w:r>
    </w:p>
    <w:p>
      <w:pPr>
        <w:pStyle w:val="Heading4"/>
      </w:pPr>
      <w:r>
        <w:rPr/>
        <w:t>Principaux types d’</w:t>
      </w:r>
      <w:r>
        <w:rPr/>
        <w:t>HTP</w:t>
      </w:r>
    </w:p>
    <w:p>
      <w:pPr/>
      <w:r>
        <w:rPr/>
        <w:t>Siège de l’obstacle</w:t>
      </w:r>
    </w:p>
    <w:p>
      <w:pPr>
        <w:numPr>
          <w:ilvl w:val="1"/>
          <w:numId w:val="8"/>
        </w:numPr>
      </w:pPr>
      <w:r>
        <w:rPr/>
        <w:t>Au nive</w:t>
      </w:r>
      <w:r>
        <w:rPr/>
        <w:t>a</w:t>
      </w:r>
      <w:r>
        <w:rPr/>
        <w:t>u du foie : bloc intra hépatique</w:t>
      </w:r>
    </w:p>
    <w:p>
      <w:pPr>
        <w:numPr>
          <w:ilvl w:val="1"/>
          <w:numId w:val="8"/>
        </w:numPr>
      </w:pPr>
      <w:r>
        <w:rPr/>
        <w:t xml:space="preserve">Sur </w:t>
      </w:r>
      <w:r>
        <w:rPr/>
        <w:t>la veine</w:t>
      </w:r>
      <w:r>
        <w:rPr/>
        <w:t xml:space="preserve"> porte : bloc sous hépatique : </w:t>
      </w:r>
      <w:r>
        <w:rPr/>
        <w:t>infra</w:t>
      </w:r>
      <w:r>
        <w:rPr/>
        <w:t>-</w:t>
      </w:r>
      <w:r>
        <w:rPr/>
        <w:t>hépatique</w:t>
      </w:r>
    </w:p>
    <w:p>
      <w:pPr>
        <w:numPr>
          <w:ilvl w:val="1"/>
          <w:numId w:val="8"/>
        </w:numPr>
      </w:pPr>
      <w:r>
        <w:rPr/>
        <w:t xml:space="preserve">Sur </w:t>
      </w:r>
      <w:r>
        <w:rPr/>
        <w:t>la veine sus-hépatique</w:t>
      </w:r>
      <w:r>
        <w:rPr/>
        <w:t xml:space="preserve"> : bloc sus-hépatique (supra-hépatique)</w:t>
      </w:r>
    </w:p>
    <w:p>
      <w:pPr/>
      <w:r>
        <w:rPr/>
        <w:t>Schéma illustrant les niveaux de l’obstacle</w:t>
      </w:r>
    </w:p>
    <w:p>
      <w:pPr>
        <w:pStyle w:val="Heading2"/>
      </w:pPr>
      <w:r>
        <w:rPr/>
        <w:t>Rappels</w:t>
      </w:r>
    </w:p>
    <w:p>
      <w:pPr>
        <w:pStyle w:val="Heading3"/>
      </w:pPr>
      <w:r>
        <w:rPr/>
        <w:t>Anastomose porto-caves</w:t>
      </w:r>
    </w:p>
    <w:p>
      <w:pPr/>
      <w:r>
        <w:rPr/>
        <w:t xml:space="preserve">En cas de bloc (obstacle </w:t>
      </w:r>
    </w:p>
    <w:p>
      <w:pPr>
        <w:numPr>
          <w:ilvl w:val="1"/>
          <w:numId w:val="8"/>
        </w:numPr>
      </w:pPr>
      <w:r>
        <w:rPr/>
        <w:t>Veine mésentérique inférieur vers la veine hémorroïdaire supérieure</w:t>
      </w:r>
    </w:p>
    <w:p>
      <w:pPr>
        <w:numPr>
          <w:ilvl w:val="1"/>
          <w:numId w:val="8"/>
        </w:numPr>
      </w:pPr>
      <w:r>
        <w:rPr/>
        <w:t>Veine coronaire stomachique vers la veine de l’œsophage et du cardia et qui va ensuite vers la veine cave supérieure</w:t>
      </w:r>
    </w:p>
    <w:p>
      <w:pPr>
        <w:numPr>
          <w:ilvl w:val="1"/>
          <w:numId w:val="8"/>
        </w:numPr>
      </w:pPr>
      <w:r>
        <w:rPr/>
        <w:t xml:space="preserve">Veine ligament falciforme vers </w:t>
      </w:r>
      <w:r>
        <w:rPr/>
        <w:t>le veine</w:t>
      </w:r>
      <w:r>
        <w:rPr/>
        <w:t xml:space="preserve"> abdominale dans la </w:t>
      </w:r>
      <w:r>
        <w:rPr/>
        <w:t>postion</w:t>
      </w:r>
      <w:r>
        <w:rPr/>
        <w:t xml:space="preserve"> antérieur</w:t>
      </w:r>
    </w:p>
    <w:p>
      <w:pPr>
        <w:numPr>
          <w:ilvl w:val="1"/>
          <w:numId w:val="8"/>
        </w:numPr>
      </w:pPr>
      <w:r>
        <w:rPr/>
        <w:t xml:space="preserve">Veine cardio </w:t>
      </w:r>
      <w:r>
        <w:rPr/>
        <w:t>tubérositaire  vers</w:t>
      </w:r>
      <w:r>
        <w:rPr/>
        <w:t xml:space="preserve"> la veine rénale gauche</w:t>
      </w:r>
    </w:p>
    <w:p>
      <w:pPr>
        <w:pStyle w:val="Heading3"/>
      </w:pPr>
      <w:r>
        <w:rPr/>
        <w:t>Anastomose porto-porte</w:t>
      </w:r>
    </w:p>
    <w:p>
      <w:pPr/>
      <w:r>
        <w:rPr/>
        <w:t>Circulation collatérale entre territoire porte (hyperpression) et territoire porte basse pression</w:t>
      </w:r>
    </w:p>
    <w:p>
      <w:pPr/>
      <w:r>
        <w:rPr/>
        <w:t xml:space="preserve">Manchon veineux autour veine porte </w:t>
      </w:r>
    </w:p>
    <w:p>
      <w:pPr/>
      <w:r>
        <w:rPr/>
        <w:t xml:space="preserve">Cavernome : espace entre </w:t>
      </w:r>
    </w:p>
    <w:p>
      <w:pPr>
        <w:pStyle w:val="Heading2"/>
      </w:pPr>
      <w:r>
        <w:rPr/>
        <w:t xml:space="preserve">Signes </w:t>
      </w:r>
    </w:p>
    <w:p>
      <w:pPr>
        <w:pStyle w:val="Heading3"/>
      </w:pPr>
      <w:r>
        <w:rPr/>
        <w:t>Clinique</w:t>
      </w:r>
    </w:p>
    <w:p>
      <w:pPr>
        <w:pStyle w:val="Heading4"/>
      </w:pPr>
      <w:r>
        <w:rPr/>
        <w:t>Circulation veineuse collatérales abdominale</w:t>
      </w:r>
    </w:p>
    <w:p>
      <w:pPr/>
      <w:r>
        <w:rPr/>
        <w:t>Signes majeur – inconstants</w:t>
      </w:r>
    </w:p>
    <w:p>
      <w:pPr/>
      <w:r>
        <w:rPr/>
        <w:t xml:space="preserve">D’abord : sus ombilicale </w:t>
      </w:r>
    </w:p>
    <w:p>
      <w:pPr>
        <w:numPr>
          <w:ilvl w:val="1"/>
          <w:numId w:val="8"/>
        </w:numPr>
      </w:pPr>
      <w:r>
        <w:rPr/>
        <w:t>Enter ombilic – appendice typhoïde</w:t>
      </w:r>
      <w:r>
        <w:rPr/>
        <w:t xml:space="preserve"> +++</w:t>
      </w:r>
    </w:p>
    <w:p>
      <w:pPr/>
      <w:r>
        <w:rPr/>
        <w:t>Flanc</w:t>
      </w:r>
    </w:p>
    <w:p>
      <w:pPr/>
      <w:r>
        <w:rPr/>
        <w:t xml:space="preserve">Sous ombilicale </w:t>
      </w:r>
    </w:p>
    <w:p>
      <w:pPr>
        <w:pStyle w:val="Heading4"/>
      </w:pPr>
      <w:r>
        <w:rPr/>
        <w:t xml:space="preserve">Varices </w:t>
      </w:r>
      <w:r>
        <w:rPr/>
        <w:t>œsophagienne</w:t>
      </w:r>
      <w:r>
        <w:rPr/>
        <w:t xml:space="preserve"> / gastrique</w:t>
      </w:r>
    </w:p>
    <w:p>
      <w:pPr/>
      <w:r>
        <w:rPr/>
        <w:t>Sans expression clinique</w:t>
      </w:r>
    </w:p>
    <w:p>
      <w:pPr/>
      <w:r>
        <w:rPr/>
        <w:t>Hémorra</w:t>
      </w:r>
      <w:r>
        <w:rPr/>
        <w:t>g</w:t>
      </w:r>
      <w:r>
        <w:rPr/>
        <w:t>ie digestive</w:t>
      </w:r>
    </w:p>
    <w:p>
      <w:pPr>
        <w:pStyle w:val="Heading4"/>
      </w:pPr>
      <w:r>
        <w:rPr/>
        <w:t>Splénomégalie</w:t>
      </w:r>
    </w:p>
    <w:p>
      <w:pPr/>
      <w:r>
        <w:rPr/>
        <w:t>Modéré</w:t>
      </w:r>
    </w:p>
    <w:p>
      <w:pPr/>
      <w:r>
        <w:rPr/>
        <w:t>Ferme</w:t>
      </w:r>
    </w:p>
    <w:p>
      <w:pPr/>
      <w:r>
        <w:rPr/>
        <w:t xml:space="preserve">Indolore </w:t>
      </w:r>
    </w:p>
    <w:p>
      <w:pPr>
        <w:pStyle w:val="Heading4"/>
      </w:pPr>
      <w:r>
        <w:rPr/>
        <w:t>Ascite</w:t>
      </w:r>
    </w:p>
    <w:p>
      <w:pPr/>
      <w:r>
        <w:rPr/>
        <w:t>Abondance variable (peut-être absent)</w:t>
      </w:r>
    </w:p>
    <w:p>
      <w:pPr>
        <w:pStyle w:val="Heading3"/>
      </w:pPr>
      <w:r>
        <w:rPr/>
        <w:t>Signes paracliniques</w:t>
      </w:r>
    </w:p>
    <w:p>
      <w:pPr>
        <w:pStyle w:val="Heading4"/>
      </w:pPr>
      <w:r>
        <w:rPr/>
        <w:t>Echographie abdominale</w:t>
      </w:r>
    </w:p>
    <w:p>
      <w:pPr/>
      <w:r>
        <w:rPr/>
        <w:t xml:space="preserve">Indispensable </w:t>
      </w:r>
    </w:p>
    <w:p>
      <w:pPr/>
      <w:r>
        <w:rPr/>
        <w:t>Buts</w:t>
      </w:r>
    </w:p>
    <w:p>
      <w:pPr>
        <w:numPr>
          <w:ilvl w:val="1"/>
          <w:numId w:val="8"/>
        </w:numPr>
      </w:pPr>
      <w:r>
        <w:rPr/>
        <w:t>Confirmation splénomégalie</w:t>
      </w:r>
    </w:p>
    <w:p>
      <w:pPr>
        <w:numPr>
          <w:ilvl w:val="1"/>
          <w:numId w:val="8"/>
        </w:numPr>
      </w:pPr>
      <w:r>
        <w:rPr/>
        <w:t xml:space="preserve">Détection éventuelle ascite </w:t>
      </w:r>
    </w:p>
    <w:p>
      <w:pPr>
        <w:numPr>
          <w:ilvl w:val="1"/>
          <w:numId w:val="8"/>
        </w:numPr>
      </w:pPr>
      <w:r>
        <w:rPr/>
        <w:t>Analyse tronc porte (normale inf. 12 mm de diamètre)</w:t>
      </w:r>
    </w:p>
    <w:p>
      <w:pPr>
        <w:numPr>
          <w:ilvl w:val="2"/>
          <w:numId w:val="8"/>
        </w:numPr>
      </w:pPr>
      <w:r>
        <w:rPr/>
        <w:t>Bloc intra-hépatique : dilation tronc porte</w:t>
      </w:r>
    </w:p>
    <w:p>
      <w:pPr>
        <w:numPr>
          <w:ilvl w:val="2"/>
          <w:numId w:val="8"/>
        </w:numPr>
      </w:pPr>
      <w:r>
        <w:rPr/>
        <w:t xml:space="preserve">Bloc </w:t>
      </w:r>
      <w:r>
        <w:rPr/>
        <w:t>infra-hépatique</w:t>
      </w:r>
      <w:r>
        <w:rPr/>
        <w:t xml:space="preserve"> : cavernome </w:t>
      </w:r>
    </w:p>
    <w:p>
      <w:pPr>
        <w:pStyle w:val="Heading4"/>
      </w:pPr>
      <w:r>
        <w:rPr/>
        <w:t>Endoscopie digestive</w:t>
      </w:r>
    </w:p>
    <w:p>
      <w:pPr/>
      <w:r>
        <w:rPr>
          <w:b/>
        </w:rPr>
        <w:t>Gastropathie</w:t>
      </w:r>
      <w:r>
        <w:rPr>
          <w:b/>
        </w:rPr>
        <w:t xml:space="preserve"> congestive</w:t>
      </w:r>
    </w:p>
    <w:p>
      <w:pPr>
        <w:numPr>
          <w:ilvl w:val="1"/>
          <w:numId w:val="8"/>
        </w:numPr>
      </w:pPr>
      <w:r>
        <w:rPr/>
        <w:t xml:space="preserve">Lésion purpurique </w:t>
      </w:r>
    </w:p>
    <w:p>
      <w:pPr>
        <w:numPr>
          <w:ilvl w:val="1"/>
          <w:numId w:val="8"/>
        </w:numPr>
      </w:pPr>
      <w:r>
        <w:rPr/>
        <w:t>Lésion en mosaïque (peau de serpent)</w:t>
      </w:r>
    </w:p>
    <w:p>
      <w:pPr>
        <w:numPr>
          <w:ilvl w:val="1"/>
          <w:numId w:val="8"/>
        </w:numPr>
      </w:pPr>
      <w:r>
        <w:rPr/>
        <w:t>Dilatation vaisseaux sous muqueux</w:t>
      </w:r>
    </w:p>
    <w:p>
      <w:pPr/>
      <w:r>
        <w:rPr>
          <w:b/>
        </w:rPr>
        <w:t xml:space="preserve">Varice gastrique </w:t>
      </w:r>
    </w:p>
    <w:p>
      <w:pPr>
        <w:numPr>
          <w:ilvl w:val="1"/>
          <w:numId w:val="8"/>
        </w:numPr>
      </w:pPr>
      <w:r>
        <w:rPr/>
        <w:t>Moins fréquente</w:t>
      </w:r>
    </w:p>
    <w:p>
      <w:pPr>
        <w:numPr>
          <w:ilvl w:val="1"/>
          <w:numId w:val="8"/>
        </w:numPr>
      </w:pPr>
      <w:r>
        <w:rPr/>
        <w:t xml:space="preserve">Cardia – grosse tubérosité </w:t>
      </w:r>
    </w:p>
    <w:p>
      <w:pPr/>
      <w:r>
        <w:rPr>
          <w:b/>
        </w:rPr>
        <w:t>Varices œsophagienne (VO)</w:t>
      </w:r>
    </w:p>
    <w:p>
      <w:pPr>
        <w:numPr>
          <w:ilvl w:val="1"/>
          <w:numId w:val="8"/>
        </w:numPr>
      </w:pPr>
      <w:r>
        <w:rPr/>
        <w:t>Cordon bleuté de taille variable</w:t>
      </w:r>
    </w:p>
    <w:p>
      <w:pPr>
        <w:numPr>
          <w:ilvl w:val="1"/>
          <w:numId w:val="8"/>
        </w:numPr>
      </w:pPr>
      <w:r>
        <w:rPr/>
        <w:t xml:space="preserve">Tiers inférieur de l’œsophage </w:t>
      </w:r>
    </w:p>
    <w:p>
      <w:pPr>
        <w:numPr>
          <w:ilvl w:val="1"/>
          <w:numId w:val="8"/>
        </w:numPr>
      </w:pPr>
      <w:r>
        <w:rPr>
          <w:b/>
          <w:u w:val="single"/>
        </w:rPr>
        <w:t xml:space="preserve">Grade </w:t>
      </w:r>
    </w:p>
    <w:p>
      <w:pPr>
        <w:numPr>
          <w:ilvl w:val="2"/>
          <w:numId w:val="8"/>
        </w:numPr>
      </w:pPr>
      <w:r>
        <w:rPr>
          <w:i/>
        </w:rPr>
        <w:t>Grande 1</w:t>
      </w:r>
      <w:r>
        <w:rPr>
          <w:i/>
        </w:rPr>
        <w:t xml:space="preserve"> :</w:t>
      </w:r>
    </w:p>
    <w:p>
      <w:pPr>
        <w:numPr>
          <w:ilvl w:val="3"/>
          <w:numId w:val="8"/>
        </w:numPr>
      </w:pPr>
      <w:r>
        <w:rPr/>
        <w:t>Petite VO moins de 5 mm</w:t>
      </w:r>
    </w:p>
    <w:p>
      <w:pPr>
        <w:numPr>
          <w:ilvl w:val="3"/>
          <w:numId w:val="8"/>
        </w:numPr>
      </w:pPr>
      <w:r>
        <w:rPr/>
        <w:t xml:space="preserve">Disparition insufflation </w:t>
      </w:r>
    </w:p>
    <w:p>
      <w:pPr>
        <w:numPr>
          <w:ilvl w:val="2"/>
          <w:numId w:val="8"/>
        </w:numPr>
      </w:pPr>
      <w:r>
        <w:rPr>
          <w:i/>
        </w:rPr>
        <w:t>Grade 2</w:t>
      </w:r>
      <w:r>
        <w:rPr>
          <w:i/>
        </w:rPr>
        <w:t xml:space="preserve"> :</w:t>
      </w:r>
    </w:p>
    <w:p>
      <w:pPr>
        <w:numPr>
          <w:ilvl w:val="3"/>
          <w:numId w:val="8"/>
        </w:numPr>
      </w:pPr>
      <w:r>
        <w:rPr/>
        <w:t>Grosse VO plus de 5 mm</w:t>
      </w:r>
    </w:p>
    <w:p>
      <w:pPr>
        <w:numPr>
          <w:ilvl w:val="3"/>
          <w:numId w:val="8"/>
        </w:numPr>
      </w:pPr>
      <w:r>
        <w:rPr/>
        <w:t xml:space="preserve">Ne disparaissant insufflation </w:t>
      </w:r>
    </w:p>
    <w:p>
      <w:pPr>
        <w:numPr>
          <w:ilvl w:val="3"/>
          <w:numId w:val="8"/>
        </w:numPr>
      </w:pPr>
      <w:r>
        <w:rPr/>
        <w:t>Non confluentes</w:t>
      </w:r>
    </w:p>
    <w:p>
      <w:pPr>
        <w:numPr>
          <w:ilvl w:val="2"/>
          <w:numId w:val="8"/>
        </w:numPr>
      </w:pPr>
      <w:r>
        <w:rPr>
          <w:i/>
        </w:rPr>
        <w:t>Grade 3</w:t>
      </w:r>
      <w:r>
        <w:rPr>
          <w:i/>
        </w:rPr>
        <w:t xml:space="preserve"> :</w:t>
      </w:r>
    </w:p>
    <w:p>
      <w:pPr>
        <w:numPr>
          <w:ilvl w:val="3"/>
          <w:numId w:val="8"/>
        </w:numPr>
      </w:pPr>
      <w:r>
        <w:rPr/>
        <w:t xml:space="preserve">Grosses varices confluentes </w:t>
      </w:r>
    </w:p>
    <w:p>
      <w:pPr>
        <w:numPr>
          <w:ilvl w:val="1"/>
          <w:numId w:val="8"/>
        </w:numPr>
      </w:pPr>
      <w:r>
        <w:rPr/>
        <w:t>Risque hémorragique</w:t>
      </w:r>
      <w:r>
        <w:rPr/>
        <w:t xml:space="preserve"> :</w:t>
      </w:r>
    </w:p>
    <w:p>
      <w:pPr>
        <w:numPr>
          <w:ilvl w:val="2"/>
          <w:numId w:val="8"/>
        </w:numPr>
      </w:pPr>
      <w:r>
        <w:rPr/>
        <w:t xml:space="preserve">Corrélé taille </w:t>
      </w:r>
    </w:p>
    <w:p>
      <w:pPr>
        <w:numPr>
          <w:ilvl w:val="2"/>
          <w:numId w:val="8"/>
        </w:numPr>
      </w:pPr>
      <w:r>
        <w:rPr/>
        <w:t>Présence de signe pariétale (signe rouge)</w:t>
      </w:r>
    </w:p>
    <w:p>
      <w:pPr>
        <w:numPr>
          <w:ilvl w:val="3"/>
          <w:numId w:val="8"/>
        </w:numPr>
      </w:pPr>
      <w:r>
        <w:rPr/>
        <w:t>Macule</w:t>
      </w:r>
    </w:p>
    <w:p>
      <w:pPr>
        <w:numPr>
          <w:ilvl w:val="3"/>
          <w:numId w:val="8"/>
        </w:numPr>
      </w:pPr>
      <w:r>
        <w:rPr/>
        <w:t xml:space="preserve">Zébrure </w:t>
      </w:r>
    </w:p>
    <w:p>
      <w:pPr>
        <w:numPr>
          <w:ilvl w:val="3"/>
          <w:numId w:val="8"/>
        </w:numPr>
      </w:pPr>
      <w:r>
        <w:rPr/>
        <w:t>*** avant rupture de VO en cirrhose, il y a une encéphalopathie hépatique souvent***</w:t>
      </w:r>
    </w:p>
    <w:p>
      <w:pPr>
        <w:pStyle w:val="Heading3"/>
      </w:pPr>
      <w:r>
        <w:rPr/>
        <w:t>Autres examens paracliniques</w:t>
      </w:r>
    </w:p>
    <w:p>
      <w:pPr>
        <w:pStyle w:val="Heading4"/>
      </w:pPr>
      <w:r>
        <w:rPr/>
        <w:t>Scanner / IRM avec injection produit de contraste</w:t>
      </w:r>
    </w:p>
    <w:p>
      <w:pPr/>
      <w:r>
        <w:rPr/>
        <w:t>Dilatation tronc porte</w:t>
      </w:r>
    </w:p>
    <w:p>
      <w:pPr/>
      <w:r>
        <w:rPr/>
        <w:t>Dilatation vaisseaux : anastomose porto-cave :</w:t>
      </w:r>
    </w:p>
    <w:p>
      <w:pPr>
        <w:numPr>
          <w:ilvl w:val="1"/>
          <w:numId w:val="8"/>
        </w:numPr>
      </w:pPr>
      <w:r>
        <w:rPr/>
        <w:t>Veine gastrique</w:t>
      </w:r>
    </w:p>
    <w:p>
      <w:pPr>
        <w:numPr>
          <w:ilvl w:val="1"/>
          <w:numId w:val="8"/>
        </w:numPr>
      </w:pPr>
      <w:r>
        <w:rPr/>
        <w:t>Veine para-ombilicale</w:t>
      </w:r>
    </w:p>
    <w:p>
      <w:pPr>
        <w:numPr>
          <w:ilvl w:val="1"/>
          <w:numId w:val="8"/>
        </w:numPr>
      </w:pPr>
      <w:r>
        <w:rPr/>
        <w:t xml:space="preserve">Veine </w:t>
      </w:r>
      <w:r>
        <w:rPr/>
        <w:t>spléno</w:t>
      </w:r>
      <w:r>
        <w:rPr/>
        <w:t>-rénale</w:t>
      </w:r>
    </w:p>
    <w:p>
      <w:pPr>
        <w:pStyle w:val="Heading4"/>
      </w:pPr>
      <w:r>
        <w:rPr/>
        <w:t>Laparoscopie</w:t>
      </w:r>
    </w:p>
    <w:p>
      <w:pPr/>
      <w:r>
        <w:rPr/>
        <w:t xml:space="preserve">Hypervascularisation </w:t>
      </w:r>
    </w:p>
    <w:p>
      <w:pPr>
        <w:numPr>
          <w:ilvl w:val="1"/>
          <w:numId w:val="8"/>
        </w:numPr>
      </w:pPr>
      <w:r>
        <w:rPr/>
        <w:t xml:space="preserve">Veine épiploïque </w:t>
      </w:r>
    </w:p>
    <w:p>
      <w:pPr>
        <w:numPr>
          <w:ilvl w:val="1"/>
          <w:numId w:val="8"/>
        </w:numPr>
      </w:pPr>
      <w:r>
        <w:rPr/>
        <w:t xml:space="preserve">Vien ligament rond </w:t>
      </w:r>
    </w:p>
    <w:p>
      <w:pPr>
        <w:numPr>
          <w:ilvl w:val="1"/>
          <w:numId w:val="8"/>
        </w:numPr>
      </w:pPr>
      <w:r>
        <w:rPr/>
        <w:t xml:space="preserve">Veine ligament </w:t>
      </w:r>
      <w:r>
        <w:rPr/>
        <w:t>phréno</w:t>
      </w:r>
      <w:r>
        <w:rPr/>
        <w:t xml:space="preserve">-colique </w:t>
      </w:r>
    </w:p>
    <w:p>
      <w:pPr>
        <w:pStyle w:val="Heading4"/>
      </w:pPr>
      <w:r>
        <w:rPr/>
        <w:t>Manométrie voie trans jugulaire</w:t>
      </w:r>
    </w:p>
    <w:p>
      <w:pPr/>
      <w:r>
        <w:rPr/>
        <w:t>Objective</w:t>
      </w:r>
    </w:p>
    <w:p>
      <w:pPr>
        <w:numPr>
          <w:ilvl w:val="1"/>
          <w:numId w:val="8"/>
        </w:numPr>
      </w:pPr>
      <w:r>
        <w:rPr/>
        <w:t xml:space="preserve">Pression portale </w:t>
      </w:r>
    </w:p>
    <w:p>
      <w:pPr>
        <w:numPr>
          <w:ilvl w:val="1"/>
          <w:numId w:val="8"/>
        </w:numPr>
      </w:pPr>
      <w:r>
        <w:rPr/>
        <w:t xml:space="preserve">Pression cave </w:t>
      </w:r>
    </w:p>
    <w:p>
      <w:pPr>
        <w:pStyle w:val="Heading3"/>
      </w:pPr>
      <w:r>
        <w:rPr/>
        <w:t>Evolution – complication</w:t>
      </w:r>
    </w:p>
    <w:p>
      <w:pPr>
        <w:pStyle w:val="Heading4"/>
      </w:pPr>
      <w:r>
        <w:rPr/>
        <w:t xml:space="preserve">Hémorragie redoutable </w:t>
      </w:r>
    </w:p>
    <w:p>
      <w:pPr/>
      <w:r>
        <w:rPr/>
        <w:t>Rupture</w:t>
      </w:r>
    </w:p>
    <w:p>
      <w:pPr>
        <w:numPr>
          <w:ilvl w:val="1"/>
          <w:numId w:val="8"/>
        </w:numPr>
      </w:pPr>
      <w:r>
        <w:rPr/>
        <w:t xml:space="preserve">Varices œsophagiennes – gastrique </w:t>
      </w:r>
    </w:p>
    <w:p>
      <w:pPr>
        <w:numPr>
          <w:ilvl w:val="1"/>
          <w:numId w:val="8"/>
        </w:numPr>
      </w:pPr>
      <w:r>
        <w:rPr/>
        <w:t>Autre lésion muqueuses (ulcères)</w:t>
      </w:r>
    </w:p>
    <w:p>
      <w:pPr/>
      <w:r>
        <w:rPr/>
        <w:t>Hématémèse suivie méléna</w:t>
      </w:r>
    </w:p>
    <w:p>
      <w:pPr/>
      <w:r>
        <w:rPr/>
        <w:t xml:space="preserve">Méléna isolé </w:t>
      </w:r>
    </w:p>
    <w:p>
      <w:pPr>
        <w:pStyle w:val="Heading2"/>
      </w:pPr>
      <w:r>
        <w:rPr/>
        <w:t>Etiologies</w:t>
      </w:r>
    </w:p>
    <w:p>
      <w:pPr/>
      <w:r>
        <w:rPr/>
        <w:t xml:space="preserve">HTP : secondaire obstacle circulation porto-hépatique </w:t>
      </w:r>
    </w:p>
    <w:p>
      <w:pPr/>
      <w:r>
        <w:rPr/>
        <w:t xml:space="preserve">Obstacle </w:t>
      </w:r>
    </w:p>
    <w:p>
      <w:pPr>
        <w:numPr>
          <w:ilvl w:val="1"/>
          <w:numId w:val="8"/>
        </w:numPr>
      </w:pPr>
      <w:r>
        <w:rPr/>
        <w:t>Au-dessous du foie</w:t>
      </w:r>
    </w:p>
    <w:p>
      <w:pPr>
        <w:numPr>
          <w:ilvl w:val="2"/>
          <w:numId w:val="8"/>
        </w:numPr>
      </w:pPr>
      <w:r>
        <w:rPr/>
        <w:t xml:space="preserve"> Bloc infra hépatique : sous hépatique </w:t>
      </w:r>
    </w:p>
    <w:p>
      <w:pPr>
        <w:numPr>
          <w:ilvl w:val="1"/>
          <w:numId w:val="8"/>
        </w:numPr>
      </w:pPr>
      <w:r>
        <w:rPr/>
        <w:t xml:space="preserve">Intérieur du foie </w:t>
      </w:r>
    </w:p>
    <w:p>
      <w:pPr>
        <w:numPr>
          <w:ilvl w:val="2"/>
          <w:numId w:val="8"/>
        </w:numPr>
      </w:pPr>
      <w:r>
        <w:rPr/>
        <w:t xml:space="preserve">Bloc intra-hépatique </w:t>
      </w:r>
    </w:p>
    <w:p>
      <w:pPr>
        <w:numPr>
          <w:ilvl w:val="1"/>
          <w:numId w:val="8"/>
        </w:numPr>
      </w:pPr>
      <w:r>
        <w:rPr/>
        <w:t>Au-dessus</w:t>
      </w:r>
      <w:r>
        <w:rPr/>
        <w:t xml:space="preserve"> du foie :</w:t>
      </w:r>
    </w:p>
    <w:p>
      <w:pPr>
        <w:pStyle w:val="Heading3"/>
      </w:pPr>
      <w:r>
        <w:rPr/>
        <w:t>Bloc infra hépatique :</w:t>
      </w:r>
      <w:r>
        <w:rPr/>
        <w:t xml:space="preserve"> </w:t>
      </w:r>
      <w:r>
        <w:rPr/>
        <w:t xml:space="preserve">pré-hépatique </w:t>
      </w:r>
    </w:p>
    <w:p>
      <w:pPr/>
      <w:r>
        <w:rPr/>
        <w:t xml:space="preserve">Compression </w:t>
      </w:r>
    </w:p>
    <w:p>
      <w:pPr>
        <w:numPr>
          <w:ilvl w:val="1"/>
          <w:numId w:val="8"/>
        </w:numPr>
      </w:pPr>
      <w:r>
        <w:rPr/>
        <w:t xml:space="preserve">Cancer </w:t>
      </w:r>
    </w:p>
    <w:p>
      <w:pPr>
        <w:numPr>
          <w:ilvl w:val="2"/>
          <w:numId w:val="8"/>
        </w:numPr>
      </w:pPr>
      <w:r>
        <w:rPr/>
        <w:t>Pancréas</w:t>
      </w:r>
    </w:p>
    <w:p>
      <w:pPr>
        <w:numPr>
          <w:ilvl w:val="2"/>
          <w:numId w:val="8"/>
        </w:numPr>
      </w:pPr>
      <w:r>
        <w:rPr/>
        <w:t>Estomac</w:t>
      </w:r>
    </w:p>
    <w:p>
      <w:pPr>
        <w:numPr>
          <w:ilvl w:val="1"/>
          <w:numId w:val="8"/>
        </w:numPr>
      </w:pPr>
      <w:r>
        <w:rPr/>
        <w:t>Pancréatite</w:t>
      </w:r>
      <w:r>
        <w:rPr/>
        <w:t xml:space="preserve"> chronique </w:t>
      </w:r>
    </w:p>
    <w:p>
      <w:pPr>
        <w:numPr>
          <w:ilvl w:val="1"/>
          <w:numId w:val="8"/>
        </w:numPr>
      </w:pPr>
      <w:r>
        <w:rPr/>
        <w:t xml:space="preserve">Adénopathie </w:t>
      </w:r>
      <w:r>
        <w:rPr/>
        <w:t>bénigne</w:t>
      </w:r>
      <w:r>
        <w:rPr/>
        <w:t xml:space="preserve"> (tuberculeuse) / malignes</w:t>
      </w:r>
    </w:p>
    <w:p>
      <w:pPr/>
      <w:r>
        <w:rPr/>
        <w:t>Invasion néoplasique luminale</w:t>
      </w:r>
    </w:p>
    <w:p>
      <w:pPr>
        <w:numPr>
          <w:ilvl w:val="1"/>
          <w:numId w:val="8"/>
        </w:numPr>
      </w:pPr>
      <w:r>
        <w:rPr/>
        <w:t>Secondaire cancer du foie</w:t>
      </w:r>
    </w:p>
    <w:p>
      <w:pPr/>
      <w:r>
        <w:rPr/>
        <w:t xml:space="preserve">Thrombose de la veine porte : </w:t>
      </w:r>
    </w:p>
    <w:p>
      <w:pPr>
        <w:numPr>
          <w:ilvl w:val="1"/>
          <w:numId w:val="8"/>
        </w:numPr>
      </w:pPr>
      <w:r>
        <w:rPr/>
        <w:t xml:space="preserve">Principale cause sous hématique </w:t>
      </w:r>
    </w:p>
    <w:p>
      <w:pPr/>
      <w:r>
        <w:rPr/>
        <w:t xml:space="preserve">Malformation congénitale </w:t>
      </w:r>
    </w:p>
    <w:p>
      <w:pPr>
        <w:numPr>
          <w:ilvl w:val="1"/>
          <w:numId w:val="8"/>
        </w:numPr>
      </w:pPr>
      <w:r>
        <w:rPr/>
        <w:t xml:space="preserve">Surtout chez l’enfant </w:t>
      </w:r>
    </w:p>
    <w:p>
      <w:pPr>
        <w:pStyle w:val="Heading3"/>
      </w:pPr>
      <w:r>
        <w:rPr/>
        <w:t xml:space="preserve">Bloc intra hépatique </w:t>
      </w:r>
    </w:p>
    <w:p>
      <w:pPr/>
      <w:r>
        <w:rPr/>
        <w:t>Cirrhose du foie : toutes étiologie +++</w:t>
      </w:r>
    </w:p>
    <w:p>
      <w:pPr/>
      <w:r>
        <w:rPr/>
        <w:t xml:space="preserve">Bilharziose hépatique </w:t>
      </w:r>
    </w:p>
    <w:p>
      <w:pPr/>
      <w:r>
        <w:rPr/>
        <w:t>Fibrose hépatique congénitale</w:t>
      </w:r>
    </w:p>
    <w:p>
      <w:pPr/>
      <w:r>
        <w:rPr/>
        <w:t>Sclérose hépatorénale</w:t>
      </w:r>
    </w:p>
    <w:p>
      <w:pPr/>
      <w:r>
        <w:rPr/>
        <w:t xml:space="preserve">Hyperplasie nodulaire régénérative </w:t>
      </w:r>
    </w:p>
    <w:p>
      <w:pPr/>
      <w:r>
        <w:rPr/>
        <w:t xml:space="preserve">Tumeur bénigne du foie </w:t>
      </w:r>
    </w:p>
    <w:p>
      <w:pPr>
        <w:pStyle w:val="Heading3"/>
      </w:pPr>
      <w:r>
        <w:rPr/>
        <w:t xml:space="preserve">Bloc supra hépatique </w:t>
      </w:r>
    </w:p>
    <w:p>
      <w:pPr/>
      <w:r>
        <w:rPr/>
        <w:t xml:space="preserve">Sd de </w:t>
      </w:r>
      <w:r>
        <w:rPr/>
        <w:t>Budd</w:t>
      </w:r>
      <w:r>
        <w:rPr/>
        <w:t xml:space="preserve"> Chiari</w:t>
      </w:r>
    </w:p>
    <w:p>
      <w:pPr>
        <w:numPr>
          <w:ilvl w:val="1"/>
          <w:numId w:val="8"/>
        </w:numPr>
      </w:pPr>
      <w:r>
        <w:rPr/>
        <w:t xml:space="preserve">Obstruction </w:t>
      </w:r>
    </w:p>
    <w:p>
      <w:pPr>
        <w:numPr>
          <w:ilvl w:val="2"/>
          <w:numId w:val="8"/>
        </w:numPr>
      </w:pPr>
      <w:r>
        <w:rPr/>
        <w:t>Veine sus hépatique</w:t>
      </w:r>
    </w:p>
    <w:p>
      <w:pPr>
        <w:numPr>
          <w:ilvl w:val="2"/>
          <w:numId w:val="8"/>
        </w:numPr>
      </w:pPr>
      <w:r>
        <w:rPr/>
        <w:t>Veine cave inférieure</w:t>
      </w:r>
    </w:p>
    <w:p>
      <w:pPr>
        <w:numPr>
          <w:ilvl w:val="1"/>
          <w:numId w:val="8"/>
        </w:numPr>
      </w:pPr>
      <w:r>
        <w:rPr/>
        <w:t xml:space="preserve">Cause </w:t>
      </w:r>
    </w:p>
    <w:p>
      <w:pPr>
        <w:numPr>
          <w:ilvl w:val="2"/>
          <w:numId w:val="8"/>
        </w:numPr>
      </w:pPr>
      <w:r>
        <w:rPr/>
        <w:t>Polycytémie</w:t>
      </w:r>
    </w:p>
    <w:p>
      <w:pPr>
        <w:numPr>
          <w:ilvl w:val="2"/>
          <w:numId w:val="8"/>
        </w:numPr>
      </w:pPr>
      <w:r>
        <w:rPr/>
        <w:t>Extension cancer du foie – rein</w:t>
      </w:r>
    </w:p>
    <w:p>
      <w:pPr>
        <w:numPr>
          <w:ilvl w:val="2"/>
          <w:numId w:val="8"/>
        </w:numPr>
      </w:pPr>
      <w:r>
        <w:rPr/>
        <w:t xml:space="preserve">Compression des veines sus-hépatiques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