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AMENORRHEE PRIMAIRE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37"/>
        </w:numPr>
      </w:pPr>
      <w:r>
        <w:rPr/>
        <w:t>Poser le diagnostic d’aménorrhée primaire</w:t>
      </w:r>
    </w:p>
    <w:p>
      <w:pPr>
        <w:numPr>
          <w:ilvl w:val="0"/>
          <w:numId w:val="37"/>
        </w:numPr>
      </w:pPr>
      <w:r>
        <w:rPr/>
        <w:t>Conduire une démarche diagnostique</w:t>
      </w:r>
    </w:p>
    <w:p>
      <w:pPr>
        <w:numPr>
          <w:ilvl w:val="0"/>
          <w:numId w:val="37"/>
        </w:numPr>
      </w:pPr>
      <w:r>
        <w:rPr/>
        <w:t>Enumérer les étiologies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38"/>
        </w:numPr>
      </w:pPr>
      <w:r>
        <w:rPr/>
        <w:t>Définition : absence de ménarche chez les filles &gt; 16 ans</w:t>
      </w:r>
    </w:p>
    <w:p>
      <w:pPr>
        <w:numPr>
          <w:ilvl w:val="0"/>
          <w:numId w:val="38"/>
        </w:numPr>
      </w:pPr>
      <w:r>
        <w:rPr/>
        <w:t>Intérêts :</w:t>
      </w:r>
    </w:p>
    <w:p>
      <w:pPr>
        <w:numPr>
          <w:ilvl w:val="1"/>
          <w:numId w:val="38"/>
        </w:numPr>
      </w:pPr>
      <w:r>
        <w:rPr/>
        <w:t>Assez fréquent</w:t>
      </w:r>
    </w:p>
    <w:p>
      <w:pPr>
        <w:numPr>
          <w:ilvl w:val="1"/>
          <w:numId w:val="38"/>
        </w:numPr>
      </w:pPr>
      <w:r>
        <w:rPr/>
        <w:t>Causes multiples</w:t>
      </w:r>
    </w:p>
    <w:p>
      <w:pPr>
        <w:numPr>
          <w:ilvl w:val="1"/>
          <w:numId w:val="38"/>
        </w:numPr>
      </w:pPr>
      <w:r>
        <w:rPr/>
        <w:t>Recherche étiologique importante pour éviter les traitements mal adaptés</w:t>
      </w:r>
    </w:p>
    <w:p>
      <w:pPr>
        <w:numPr>
          <w:ilvl w:val="0"/>
          <w:numId w:val="38"/>
        </w:numPr>
      </w:pPr>
      <w:r>
        <w:rPr/>
        <w:t>Grossesse possible</w:t>
      </w:r>
      <w:r>
        <w:rPr/>
      </w:r>
      <w:r>
        <w:rPr/>
        <w:t xml:space="preserve"> </w:t>
      </w:r>
    </w:p>
    <w:p>
      <w:pPr/>
    </w:p>
    <w:p>
      <w:pPr>
        <w:pStyle w:val="Heading2"/>
      </w:pPr>
      <w:r>
        <w:rPr/>
        <w:t>DEMARCHE DIAGNOSTIQUE</w:t>
      </w:r>
    </w:p>
    <w:p>
      <w:pPr>
        <w:pStyle w:val="Heading3"/>
      </w:pPr>
      <w:r>
        <w:rPr/>
        <w:t>INTERROGATOIRE</w:t>
      </w:r>
    </w:p>
    <w:p>
      <w:pPr>
        <w:numPr>
          <w:ilvl w:val="1"/>
          <w:numId w:val="39"/>
        </w:numPr>
      </w:pPr>
      <w:r>
        <w:rPr/>
        <w:t>Âge</w:t>
      </w:r>
    </w:p>
    <w:p>
      <w:pPr>
        <w:numPr>
          <w:ilvl w:val="1"/>
          <w:numId w:val="39"/>
        </w:numPr>
      </w:pPr>
      <w:r>
        <w:rPr/>
        <w:t>Antécédents personnels :</w:t>
      </w:r>
    </w:p>
    <w:p>
      <w:pPr>
        <w:numPr>
          <w:ilvl w:val="2"/>
          <w:numId w:val="39"/>
        </w:numPr>
      </w:pPr>
      <w:r>
        <w:rPr/>
        <w:t xml:space="preserve">Médicaux : </w:t>
      </w:r>
    </w:p>
    <w:p>
      <w:pPr>
        <w:numPr>
          <w:ilvl w:val="3"/>
          <w:numId w:val="39"/>
        </w:numPr>
      </w:pPr>
      <w:r>
        <w:rPr/>
        <w:t xml:space="preserve">Tuberculose </w:t>
      </w:r>
    </w:p>
    <w:p>
      <w:pPr>
        <w:numPr>
          <w:ilvl w:val="3"/>
          <w:numId w:val="39"/>
        </w:numPr>
      </w:pPr>
      <w:r>
        <w:rPr/>
        <w:t>Maladie endocrinienne ou générale</w:t>
      </w:r>
    </w:p>
    <w:p>
      <w:pPr>
        <w:numPr>
          <w:ilvl w:val="3"/>
          <w:numId w:val="39"/>
        </w:numPr>
      </w:pPr>
      <w:r>
        <w:rPr/>
        <w:t>Chimiothérapie, radiothérapie</w:t>
      </w:r>
    </w:p>
    <w:p>
      <w:pPr>
        <w:numPr>
          <w:ilvl w:val="2"/>
          <w:numId w:val="39"/>
        </w:numPr>
      </w:pPr>
      <w:r>
        <w:rPr/>
        <w:t>Chirurgicaux :</w:t>
      </w:r>
    </w:p>
    <w:p>
      <w:pPr>
        <w:numPr>
          <w:ilvl w:val="3"/>
          <w:numId w:val="39"/>
        </w:numPr>
      </w:pPr>
      <w:r>
        <w:rPr/>
        <w:t>Chirurgie du petit bassin</w:t>
      </w:r>
    </w:p>
    <w:p>
      <w:pPr>
        <w:numPr>
          <w:ilvl w:val="2"/>
          <w:numId w:val="39"/>
        </w:numPr>
      </w:pPr>
      <w:r>
        <w:rPr/>
        <w:t>Gynécologiques : activité sexuelle</w:t>
      </w:r>
    </w:p>
    <w:p>
      <w:pPr>
        <w:numPr>
          <w:ilvl w:val="1"/>
          <w:numId w:val="39"/>
        </w:numPr>
      </w:pPr>
      <w:r>
        <w:rPr/>
        <w:t>Antécédents familiaux :</w:t>
      </w:r>
    </w:p>
    <w:p>
      <w:pPr>
        <w:numPr>
          <w:ilvl w:val="2"/>
          <w:numId w:val="39"/>
        </w:numPr>
      </w:pPr>
      <w:r>
        <w:rPr/>
        <w:t xml:space="preserve">Âge de la ménarche de la famille : mère, tante, </w:t>
      </w:r>
      <w:r>
        <w:rPr/>
        <w:t>soeur</w:t>
      </w:r>
    </w:p>
    <w:p>
      <w:pPr>
        <w:numPr>
          <w:ilvl w:val="2"/>
          <w:numId w:val="39"/>
        </w:numPr>
      </w:pPr>
      <w:r>
        <w:rPr/>
        <w:t>Pathologie similaire ou retard pubertaire</w:t>
      </w:r>
    </w:p>
    <w:p>
      <w:pPr>
        <w:numPr>
          <w:ilvl w:val="1"/>
          <w:numId w:val="39"/>
        </w:numPr>
      </w:pPr>
      <w:r>
        <w:rPr/>
        <w:t>Notion de prise médicamenteux</w:t>
      </w:r>
    </w:p>
    <w:p>
      <w:pPr>
        <w:numPr>
          <w:ilvl w:val="1"/>
          <w:numId w:val="39"/>
        </w:numPr>
      </w:pPr>
      <w:r>
        <w:rPr/>
        <w:t xml:space="preserve">Contexte nutritionnel, </w:t>
      </w:r>
      <w:r>
        <w:rPr/>
        <w:t>psycholoique</w:t>
      </w:r>
      <w:r>
        <w:rPr/>
        <w:t>, entourage familiale</w:t>
      </w:r>
    </w:p>
    <w:p>
      <w:pPr>
        <w:numPr>
          <w:ilvl w:val="1"/>
          <w:numId w:val="39"/>
        </w:numPr>
      </w:pPr>
      <w:r>
        <w:rPr>
          <w:b/>
        </w:rPr>
        <w:t>Signes fonctionnels :</w:t>
      </w:r>
    </w:p>
    <w:p>
      <w:pPr>
        <w:numPr>
          <w:ilvl w:val="2"/>
          <w:numId w:val="39"/>
        </w:numPr>
      </w:pPr>
      <w:r>
        <w:rPr/>
        <w:t>Anosmie (Syndrome de KALLMANN)</w:t>
      </w:r>
    </w:p>
    <w:p>
      <w:pPr>
        <w:numPr>
          <w:ilvl w:val="2"/>
          <w:numId w:val="39"/>
        </w:numPr>
      </w:pPr>
      <w:r>
        <w:rPr/>
        <w:t>Céphalée et troubles visuelles (pathologie thyroïdienne)</w:t>
      </w:r>
    </w:p>
    <w:p>
      <w:pPr>
        <w:numPr>
          <w:ilvl w:val="2"/>
          <w:numId w:val="39"/>
        </w:numPr>
      </w:pPr>
      <w:r>
        <w:rPr/>
        <w:t>Galactorrhée (hyperprolactinémie)</w:t>
      </w:r>
    </w:p>
    <w:p>
      <w:pPr>
        <w:numPr>
          <w:ilvl w:val="2"/>
          <w:numId w:val="39"/>
        </w:numPr>
      </w:pPr>
      <w:r>
        <w:rPr/>
        <w:t>Bouffée de chaleur (insuffisance ovarienne primitive)</w:t>
      </w:r>
    </w:p>
    <w:p>
      <w:pPr>
        <w:numPr>
          <w:ilvl w:val="2"/>
          <w:numId w:val="39"/>
        </w:numPr>
      </w:pPr>
      <w:r>
        <w:rPr/>
        <w:t>Douleur pelvienne cyclique (</w:t>
      </w:r>
      <w:r>
        <w:rPr/>
        <w:t>hématocolpos</w:t>
      </w:r>
      <w:r>
        <w:rPr/>
        <w:t xml:space="preserve">, </w:t>
      </w:r>
      <w:r>
        <w:rPr/>
        <w:t>hématométrie</w:t>
      </w:r>
      <w:r>
        <w:rPr/>
        <w:t>)</w:t>
      </w:r>
      <w:r>
        <w:rPr/>
      </w:r>
    </w:p>
    <w:p>
      <w:pPr>
        <w:pStyle w:val="Heading3"/>
      </w:pPr>
      <w:r>
        <w:rPr/>
        <w:t xml:space="preserve">EXAMEN PHYSIQUE </w:t>
      </w:r>
    </w:p>
    <w:p>
      <w:pPr>
        <w:numPr>
          <w:ilvl w:val="1"/>
          <w:numId w:val="39"/>
        </w:numPr>
      </w:pPr>
      <w:r>
        <w:rPr/>
        <w:t xml:space="preserve">Paramètres : Poids, taille </w:t>
      </w:r>
      <w:r>
        <w:rPr>
          <w:i/>
        </w:rPr>
        <w:t>(Turner)</w:t>
      </w:r>
      <w:r>
        <w:rPr/>
        <w:t>, TA, FC</w:t>
      </w:r>
    </w:p>
    <w:p>
      <w:pPr>
        <w:numPr>
          <w:ilvl w:val="1"/>
          <w:numId w:val="39"/>
        </w:numPr>
      </w:pPr>
      <w:r>
        <w:rPr/>
        <w:t>Inspection générale : recherche de dysmorphie</w:t>
      </w:r>
    </w:p>
    <w:p>
      <w:pPr>
        <w:numPr>
          <w:ilvl w:val="1"/>
          <w:numId w:val="39"/>
        </w:numPr>
      </w:pPr>
      <w:r>
        <w:rPr/>
        <w:t>Evaluation des caractères sexuels secondaires : Stade de TANNER</w:t>
      </w:r>
    </w:p>
    <w:p>
      <w:pPr>
        <w:numPr>
          <w:ilvl w:val="1"/>
          <w:numId w:val="39"/>
        </w:numPr>
      </w:pPr>
      <w:r>
        <w:rPr/>
        <w:t xml:space="preserve">Rechercher les signes d’hyperandrogénie : </w:t>
      </w:r>
    </w:p>
    <w:p>
      <w:pPr>
        <w:numPr>
          <w:ilvl w:val="2"/>
          <w:numId w:val="39"/>
        </w:numPr>
      </w:pPr>
      <w:r>
        <w:rPr/>
        <w:t>Hirsutisme</w:t>
      </w:r>
    </w:p>
    <w:p>
      <w:pPr>
        <w:numPr>
          <w:ilvl w:val="2"/>
          <w:numId w:val="39"/>
        </w:numPr>
      </w:pPr>
      <w:r>
        <w:rPr/>
        <w:t>Acnés</w:t>
      </w:r>
    </w:p>
    <w:p>
      <w:pPr>
        <w:numPr>
          <w:ilvl w:val="1"/>
          <w:numId w:val="39"/>
        </w:numPr>
      </w:pPr>
      <w:r>
        <w:rPr/>
        <w:t>Rechercher les signes de virilisation :</w:t>
      </w:r>
    </w:p>
    <w:p>
      <w:pPr>
        <w:numPr>
          <w:ilvl w:val="2"/>
          <w:numId w:val="39"/>
        </w:numPr>
      </w:pPr>
      <w:r>
        <w:rPr/>
        <w:t>Hypertrophie clitoridienne</w:t>
      </w:r>
    </w:p>
    <w:p>
      <w:pPr>
        <w:numPr>
          <w:ilvl w:val="2"/>
          <w:numId w:val="39"/>
        </w:numPr>
      </w:pPr>
      <w:r>
        <w:rPr/>
        <w:t>Augmentation de la masse musculaire</w:t>
      </w:r>
    </w:p>
    <w:p>
      <w:pPr>
        <w:numPr>
          <w:ilvl w:val="2"/>
          <w:numId w:val="39"/>
        </w:numPr>
      </w:pPr>
      <w:r>
        <w:rPr/>
        <w:t>Diminution de la masse graisseuse</w:t>
      </w:r>
    </w:p>
    <w:p>
      <w:pPr>
        <w:numPr>
          <w:ilvl w:val="1"/>
          <w:numId w:val="39"/>
        </w:numPr>
      </w:pPr>
      <w:r>
        <w:rPr>
          <w:b/>
        </w:rPr>
        <w:t>Examen gynécologique : +++</w:t>
      </w:r>
    </w:p>
    <w:p>
      <w:pPr>
        <w:numPr>
          <w:ilvl w:val="2"/>
          <w:numId w:val="39"/>
        </w:numPr>
      </w:pPr>
      <w:r>
        <w:rPr/>
        <w:t xml:space="preserve">Palpation abdominale : </w:t>
      </w:r>
      <w:r>
        <w:rPr/>
        <w:t>masse ?</w:t>
      </w:r>
    </w:p>
    <w:p>
      <w:pPr>
        <w:numPr>
          <w:ilvl w:val="2"/>
          <w:numId w:val="39"/>
        </w:numPr>
      </w:pPr>
      <w:r>
        <w:rPr/>
        <w:t>Inspection vulvaire :</w:t>
      </w:r>
    </w:p>
    <w:p>
      <w:pPr>
        <w:numPr>
          <w:ilvl w:val="3"/>
          <w:numId w:val="39"/>
        </w:numPr>
      </w:pPr>
      <w:r>
        <w:rPr/>
        <w:t>Pilosité</w:t>
      </w:r>
    </w:p>
    <w:p>
      <w:pPr>
        <w:numPr>
          <w:ilvl w:val="3"/>
          <w:numId w:val="39"/>
        </w:numPr>
      </w:pPr>
      <w:r>
        <w:rPr/>
        <w:t>Aspect des lèvres</w:t>
      </w:r>
    </w:p>
    <w:p>
      <w:pPr>
        <w:numPr>
          <w:ilvl w:val="3"/>
          <w:numId w:val="39"/>
        </w:numPr>
      </w:pPr>
      <w:r>
        <w:rPr/>
        <w:t>Aspect et taille du clitoris</w:t>
      </w:r>
    </w:p>
    <w:p>
      <w:pPr>
        <w:numPr>
          <w:ilvl w:val="3"/>
          <w:numId w:val="39"/>
        </w:numPr>
      </w:pPr>
      <w:r>
        <w:rPr/>
        <w:t>Localisation du méat urétral</w:t>
      </w:r>
    </w:p>
    <w:p>
      <w:pPr>
        <w:numPr>
          <w:ilvl w:val="3"/>
          <w:numId w:val="39"/>
        </w:numPr>
      </w:pPr>
      <w:r>
        <w:rPr/>
        <w:t>Examen de l’hymen</w:t>
      </w:r>
      <w:r>
        <w:rPr/>
      </w:r>
    </w:p>
    <w:p>
      <w:pPr>
        <w:numPr>
          <w:ilvl w:val="2"/>
          <w:numId w:val="39"/>
        </w:numPr>
      </w:pPr>
      <w:r>
        <w:rPr/>
        <w:t>Speculum de vierge : existence du vagin et du col</w:t>
      </w:r>
    </w:p>
    <w:p>
      <w:pPr>
        <w:numPr>
          <w:ilvl w:val="2"/>
          <w:numId w:val="39"/>
        </w:numPr>
      </w:pPr>
      <w:r>
        <w:rPr>
          <w:b/>
        </w:rPr>
        <w:t>Pas de TV si vierge</w:t>
      </w:r>
    </w:p>
    <w:p>
      <w:pPr>
        <w:numPr>
          <w:ilvl w:val="2"/>
          <w:numId w:val="39"/>
        </w:numPr>
      </w:pPr>
      <w:r>
        <w:rPr/>
        <w:t xml:space="preserve">TR : </w:t>
      </w:r>
    </w:p>
    <w:p>
      <w:pPr>
        <w:numPr>
          <w:ilvl w:val="3"/>
          <w:numId w:val="39"/>
        </w:numPr>
      </w:pPr>
      <w:r>
        <w:rPr/>
        <w:t>Vérifier l’utérus</w:t>
      </w:r>
    </w:p>
    <w:p>
      <w:pPr>
        <w:numPr>
          <w:ilvl w:val="3"/>
          <w:numId w:val="39"/>
        </w:numPr>
      </w:pPr>
      <w:r>
        <w:rPr/>
        <w:t>Recherche d’</w:t>
      </w:r>
      <w:r>
        <w:rPr/>
        <w:t>hématocolpos</w:t>
      </w:r>
      <w:r>
        <w:rPr/>
        <w:t xml:space="preserve">, masse pelvienne </w:t>
      </w:r>
    </w:p>
    <w:p>
      <w:pPr>
        <w:numPr>
          <w:ilvl w:val="2"/>
          <w:numId w:val="39"/>
        </w:numPr>
      </w:pPr>
      <w:r>
        <w:rPr/>
        <w:t>Examen bilatéral et comparatif des seins</w:t>
      </w:r>
    </w:p>
    <w:p>
      <w:pPr>
        <w:pStyle w:val="Heading3"/>
      </w:pPr>
      <w:r>
        <w:rPr/>
        <w:t>EXAMENS COMPLEMENTAIRES</w:t>
      </w:r>
    </w:p>
    <w:p>
      <w:pPr>
        <w:numPr>
          <w:ilvl w:val="1"/>
          <w:numId w:val="39"/>
        </w:numPr>
      </w:pPr>
      <w:r>
        <w:rPr>
          <w:b/>
        </w:rPr>
        <w:t xml:space="preserve">Le premier geste est </w:t>
      </w:r>
      <w:r>
        <w:rPr>
          <w:b/>
          <w:u w:val="single"/>
        </w:rPr>
        <w:t>d’éliminer une grossesse</w:t>
      </w:r>
    </w:p>
    <w:p>
      <w:pPr>
        <w:numPr>
          <w:ilvl w:val="2"/>
          <w:numId w:val="39"/>
        </w:numPr>
      </w:pPr>
      <w:r>
        <w:rPr/>
        <w:t>Test de grossesse</w:t>
      </w:r>
    </w:p>
    <w:p>
      <w:pPr>
        <w:numPr>
          <w:ilvl w:val="2"/>
          <w:numId w:val="39"/>
        </w:numPr>
      </w:pPr>
      <w:r>
        <w:rPr/>
        <w:t xml:space="preserve">Dosage de </w:t>
      </w:r>
      <w:r>
        <w:rPr>
          <w:rFonts w:ascii="Symbol" w:hAnsi="Symbol"/>
        </w:rPr>
        <w:t>b</w:t>
      </w:r>
      <w:r>
        <w:rPr/>
        <w:t>-HCG plasmatique</w:t>
      </w:r>
    </w:p>
    <w:p>
      <w:pPr>
        <w:numPr>
          <w:ilvl w:val="2"/>
          <w:numId w:val="39"/>
        </w:numPr>
      </w:pPr>
      <w:r>
        <w:rPr/>
        <w:t>Echographie pelvienne si doute</w:t>
      </w:r>
    </w:p>
    <w:p>
      <w:pPr>
        <w:numPr>
          <w:ilvl w:val="1"/>
          <w:numId w:val="39"/>
        </w:numPr>
      </w:pPr>
      <w:r>
        <w:rPr>
          <w:b/>
        </w:rPr>
        <w:t>Radiographie du poignet gauche avec recherche du sésamoïde du pouce</w:t>
      </w:r>
      <w:r>
        <w:rPr/>
        <w:t xml:space="preserve"> (âge osseux)</w:t>
      </w:r>
    </w:p>
    <w:p>
      <w:pPr>
        <w:numPr>
          <w:ilvl w:val="1"/>
          <w:numId w:val="39"/>
        </w:numPr>
      </w:pPr>
      <w:r>
        <w:rPr>
          <w:b/>
        </w:rPr>
        <w:t xml:space="preserve">Courbe de température </w:t>
      </w:r>
      <w:r>
        <w:rPr/>
        <w:t>(évaluation de l’ovulation)</w:t>
      </w:r>
    </w:p>
    <w:p>
      <w:pPr>
        <w:numPr>
          <w:ilvl w:val="1"/>
          <w:numId w:val="39"/>
        </w:numPr>
      </w:pPr>
      <w:r>
        <w:rPr>
          <w:b/>
        </w:rPr>
        <w:t xml:space="preserve">Dosage </w:t>
      </w:r>
      <w:r>
        <w:rPr>
          <w:b/>
        </w:rPr>
        <w:t>hormonaux</w:t>
      </w:r>
      <w:r>
        <w:rPr/>
      </w:r>
      <w:r>
        <w:rPr>
          <w:b/>
        </w:rPr>
        <w:t xml:space="preserve"> :</w:t>
      </w:r>
    </w:p>
    <w:p>
      <w:pPr>
        <w:numPr>
          <w:ilvl w:val="2"/>
          <w:numId w:val="39"/>
        </w:numPr>
      </w:pPr>
      <w:r>
        <w:rPr>
          <w:rFonts w:ascii="Symbol" w:hAnsi="Symbol"/>
        </w:rPr>
        <w:t>b</w:t>
      </w:r>
      <w:r>
        <w:rPr/>
        <w:t xml:space="preserve">HCG </w:t>
      </w:r>
    </w:p>
    <w:p>
      <w:pPr>
        <w:numPr>
          <w:ilvl w:val="2"/>
          <w:numId w:val="39"/>
        </w:numPr>
      </w:pPr>
      <w:r>
        <w:rPr/>
        <w:t xml:space="preserve">FSH, LH, </w:t>
      </w:r>
      <w:r>
        <w:rPr/>
        <w:t>Oestradiol</w:t>
      </w:r>
    </w:p>
    <w:p>
      <w:pPr>
        <w:numPr>
          <w:ilvl w:val="2"/>
          <w:numId w:val="39"/>
        </w:numPr>
      </w:pPr>
      <w:r>
        <w:rPr/>
        <w:t>Prolactine, testostérone</w:t>
      </w:r>
    </w:p>
    <w:p>
      <w:pPr>
        <w:numPr>
          <w:ilvl w:val="2"/>
          <w:numId w:val="39"/>
        </w:numPr>
      </w:pPr>
      <w:r>
        <w:rPr/>
        <w:t>17-hydroxyprogéstérone</w:t>
      </w:r>
    </w:p>
    <w:p>
      <w:pPr>
        <w:numPr>
          <w:ilvl w:val="2"/>
          <w:numId w:val="39"/>
        </w:numPr>
      </w:pPr>
      <w:r>
        <w:rPr>
          <w:rFonts w:ascii="Symbol" w:hAnsi="Symbol"/>
        </w:rPr>
        <w:t>D</w:t>
      </w:r>
      <w:r>
        <w:rPr/>
        <w:t xml:space="preserve">-4-androstenedione </w:t>
      </w:r>
    </w:p>
    <w:p>
      <w:pPr>
        <w:numPr>
          <w:ilvl w:val="1"/>
          <w:numId w:val="39"/>
        </w:numPr>
      </w:pPr>
      <w:r>
        <w:rPr>
          <w:b/>
        </w:rPr>
        <w:t>Echographie en 3D</w:t>
      </w:r>
    </w:p>
    <w:p>
      <w:pPr>
        <w:numPr>
          <w:ilvl w:val="2"/>
          <w:numId w:val="39"/>
        </w:numPr>
      </w:pPr>
      <w:r>
        <w:rPr/>
        <w:t>Mesure de la longueur du corps et du col utérin</w:t>
      </w:r>
    </w:p>
    <w:p>
      <w:pPr>
        <w:numPr>
          <w:ilvl w:val="3"/>
          <w:numId w:val="39"/>
        </w:numPr>
      </w:pPr>
      <w:r>
        <w:rPr/>
        <w:t>Augmentation du rapport corps-col : témoin de sécrétion oestrogénique</w:t>
      </w:r>
    </w:p>
    <w:p>
      <w:pPr>
        <w:numPr>
          <w:ilvl w:val="1"/>
          <w:numId w:val="39"/>
        </w:numPr>
      </w:pPr>
      <w:r>
        <w:rPr/>
        <w:t xml:space="preserve">En fonction des résultats des examens de débrouillage : </w:t>
      </w:r>
    </w:p>
    <w:p>
      <w:pPr>
        <w:numPr>
          <w:ilvl w:val="2"/>
          <w:numId w:val="39"/>
        </w:numPr>
      </w:pPr>
      <w:r>
        <w:rPr/>
        <w:t>IRM du pelvis</w:t>
      </w:r>
    </w:p>
    <w:p>
      <w:pPr>
        <w:numPr>
          <w:ilvl w:val="2"/>
          <w:numId w:val="39"/>
        </w:numPr>
      </w:pPr>
      <w:r>
        <w:rPr/>
        <w:t>IRM de l’hypophyse</w:t>
      </w:r>
    </w:p>
    <w:p>
      <w:pPr>
        <w:numPr>
          <w:ilvl w:val="2"/>
          <w:numId w:val="39"/>
        </w:numPr>
      </w:pPr>
      <w:r>
        <w:rPr/>
        <w:t>Champ visuel</w:t>
      </w:r>
    </w:p>
    <w:p>
      <w:pPr>
        <w:numPr>
          <w:ilvl w:val="2"/>
          <w:numId w:val="39"/>
        </w:numPr>
      </w:pPr>
      <w:r>
        <w:rPr/>
        <w:t>Caryotype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numPr>
          <w:ilvl w:val="0"/>
          <w:numId w:val="40"/>
        </w:numPr>
      </w:pPr>
      <w:r>
        <w:rPr>
          <w:b/>
        </w:rPr>
        <w:t xml:space="preserve">Clinique, à l’interrogatoire : </w:t>
      </w:r>
      <w:r>
        <w:rPr/>
        <w:t>absence d’apparition des règles à l’âge normal de la puberté (après 16 ans)</w:t>
      </w:r>
    </w:p>
    <w:p>
      <w:pPr/>
    </w:p>
    <w:p>
      <w:pPr>
        <w:pStyle w:val="Heading3"/>
      </w:pPr>
      <w:r>
        <w:rPr/>
        <w:t>DIAGNOSTIC DIFFERENTIEL</w:t>
      </w:r>
      <w:r>
        <w:rPr/>
        <w:t xml:space="preserve"> </w:t>
      </w:r>
    </w:p>
    <w:p>
      <w:pPr>
        <w:numPr>
          <w:ilvl w:val="0"/>
          <w:numId w:val="41"/>
        </w:numPr>
      </w:pPr>
      <w:r>
        <w:rPr/>
        <w:t xml:space="preserve">Eliminer une aménorrhée secondaire </w:t>
      </w:r>
    </w:p>
    <w:p>
      <w:pPr>
        <w:pStyle w:val="Heading3"/>
      </w:pPr>
      <w:r>
        <w:rPr/>
        <w:t>DIAGNOSTIC ETIOLOGIQUE</w:t>
      </w:r>
    </w:p>
    <w:p>
      <w:pPr>
        <w:numPr>
          <w:ilvl w:val="0"/>
          <w:numId w:val="42"/>
        </w:numPr>
      </w:pPr>
      <w:r>
        <w:rPr/>
        <w:t>En fonction :</w:t>
      </w:r>
    </w:p>
    <w:p>
      <w:pPr>
        <w:numPr>
          <w:ilvl w:val="1"/>
          <w:numId w:val="42"/>
        </w:numPr>
      </w:pPr>
      <w:r>
        <w:rPr/>
        <w:t>De l’âge osseux</w:t>
      </w:r>
    </w:p>
    <w:p>
      <w:pPr>
        <w:numPr>
          <w:ilvl w:val="1"/>
          <w:numId w:val="42"/>
        </w:numPr>
      </w:pPr>
      <w:r>
        <w:rPr/>
        <w:t>Des caractères sexuels secondaires</w:t>
      </w:r>
    </w:p>
    <w:p>
      <w:pPr/>
    </w:p>
    <w:p>
      <w:pPr>
        <w:pStyle w:val="Heading4"/>
        <w:numPr>
          <w:ilvl w:val="0"/>
          <w:numId w:val="43"/>
        </w:numPr>
      </w:pPr>
      <w:r>
        <w:rPr/>
        <w:t>Âge osseux &lt; 11 ans</w:t>
      </w:r>
      <w:r>
        <w:rPr>
          <w:u w:val="none"/>
        </w:rPr>
        <w:t xml:space="preserve"> : Retard pubertaire</w:t>
      </w:r>
    </w:p>
    <w:p>
      <w:pPr>
        <w:numPr>
          <w:ilvl w:val="1"/>
          <w:numId w:val="43"/>
        </w:numPr>
      </w:pPr>
      <w:r>
        <w:rPr/>
        <w:t>Retard statural</w:t>
      </w:r>
    </w:p>
    <w:p>
      <w:pPr>
        <w:numPr>
          <w:ilvl w:val="1"/>
          <w:numId w:val="43"/>
        </w:numPr>
      </w:pPr>
      <w:r>
        <w:rPr/>
        <w:t>Absence de caractères sexuels secondaires</w:t>
      </w:r>
    </w:p>
    <w:p>
      <w:pPr>
        <w:numPr>
          <w:ilvl w:val="1"/>
          <w:numId w:val="43"/>
        </w:numPr>
      </w:pPr>
      <w:r>
        <w:rPr/>
        <w:t>Echographie abdomino-pelvienne normale</w:t>
      </w:r>
    </w:p>
    <w:p>
      <w:pPr>
        <w:numPr>
          <w:ilvl w:val="1"/>
          <w:numId w:val="43"/>
        </w:numPr>
      </w:pPr>
      <w:r>
        <w:rPr/>
        <w:t>Rechercher une carence nutritionnelle liée ou non à une maladie chronique</w:t>
      </w:r>
    </w:p>
    <w:p>
      <w:pPr>
        <w:numPr>
          <w:ilvl w:val="1"/>
          <w:numId w:val="43"/>
        </w:numPr>
      </w:pPr>
      <w:r>
        <w:rPr>
          <w:b/>
        </w:rPr>
        <w:t>Abstention thérapeutique</w:t>
      </w:r>
    </w:p>
    <w:p>
      <w:pPr/>
    </w:p>
    <w:p>
      <w:pPr>
        <w:pStyle w:val="Heading4"/>
        <w:numPr>
          <w:ilvl w:val="0"/>
          <w:numId w:val="43"/>
        </w:numPr>
      </w:pPr>
      <w:r>
        <w:rPr/>
        <w:t>Âge osseux &gt; 11 ANS</w:t>
      </w:r>
    </w:p>
    <w:p>
      <w:pPr>
        <w:numPr>
          <w:ilvl w:val="1"/>
          <w:numId w:val="43"/>
        </w:numPr>
      </w:pPr>
      <w:r>
        <w:rPr/>
        <w:t>3 situations possibles :</w:t>
      </w:r>
    </w:p>
    <w:p>
      <w:pPr>
        <w:numPr>
          <w:ilvl w:val="2"/>
          <w:numId w:val="43"/>
        </w:numPr>
      </w:pPr>
      <w:r>
        <w:rPr>
          <w:b/>
        </w:rPr>
        <w:t>Absence de caractères sexuels secondaires</w:t>
      </w:r>
    </w:p>
    <w:p>
      <w:pPr>
        <w:numPr>
          <w:ilvl w:val="2"/>
          <w:numId w:val="43"/>
        </w:numPr>
      </w:pPr>
      <w:r>
        <w:rPr>
          <w:b/>
        </w:rPr>
        <w:t>Caractères sexuels secondaires normaux</w:t>
      </w:r>
    </w:p>
    <w:p>
      <w:pPr>
        <w:numPr>
          <w:ilvl w:val="2"/>
          <w:numId w:val="43"/>
        </w:numPr>
      </w:pPr>
      <w:r>
        <w:rPr>
          <w:b/>
        </w:rPr>
        <w:t>Caractères sexuels secondaires virilisés</w:t>
      </w:r>
    </w:p>
    <w:p>
      <w:pPr/>
    </w:p>
    <w:p>
      <w:pPr>
        <w:pStyle w:val="Heading5"/>
        <w:numPr>
          <w:ilvl w:val="0"/>
          <w:numId w:val="44"/>
        </w:numPr>
      </w:pPr>
      <w:r>
        <w:rPr/>
        <w:t>Caractères sexuels secondaires absents :</w:t>
      </w:r>
    </w:p>
    <w:p>
      <w:pPr>
        <w:numPr>
          <w:ilvl w:val="1"/>
          <w:numId w:val="44"/>
        </w:numPr>
      </w:pPr>
      <w:r>
        <w:rPr>
          <w:b/>
        </w:rPr>
        <w:t>Causes ovariennes :</w:t>
      </w:r>
      <w:r>
        <w:rPr/>
        <w:t xml:space="preserve"> </w:t>
      </w:r>
      <w:r>
        <w:rPr>
          <w:b/>
          <w:u w:val="single"/>
        </w:rPr>
        <w:t xml:space="preserve">FSH et LH </w:t>
      </w:r>
      <w:r>
        <w:rPr>
          <w:b/>
          <w:color w:val="FF0000"/>
          <w:u w:val="single"/>
        </w:rPr>
        <w:t>élevées</w:t>
      </w:r>
    </w:p>
    <w:p>
      <w:pPr>
        <w:numPr>
          <w:ilvl w:val="2"/>
          <w:numId w:val="44"/>
        </w:numPr>
      </w:pPr>
      <w:r>
        <w:rPr>
          <w:b/>
        </w:rPr>
        <w:t>Syndrome de Turner :</w:t>
      </w:r>
    </w:p>
    <w:p>
      <w:pPr>
        <w:numPr>
          <w:ilvl w:val="3"/>
          <w:numId w:val="44"/>
        </w:numPr>
      </w:pPr>
      <w:r>
        <w:rPr/>
        <w:t>Dysgénésie gonadique</w:t>
      </w:r>
    </w:p>
    <w:p>
      <w:pPr>
        <w:numPr>
          <w:ilvl w:val="3"/>
          <w:numId w:val="44"/>
        </w:numPr>
      </w:pPr>
      <w:r>
        <w:rPr/>
        <w:t>Caryotype normal</w:t>
      </w:r>
    </w:p>
    <w:p>
      <w:pPr>
        <w:numPr>
          <w:ilvl w:val="3"/>
          <w:numId w:val="44"/>
        </w:numPr>
      </w:pPr>
      <w:r>
        <w:rPr/>
        <w:t>Syndrome dysmorphique associé à d’autres malformations</w:t>
      </w:r>
    </w:p>
    <w:p>
      <w:pPr>
        <w:numPr>
          <w:ilvl w:val="2"/>
          <w:numId w:val="44"/>
        </w:numPr>
      </w:pPr>
      <w:r>
        <w:rPr>
          <w:b/>
        </w:rPr>
        <w:t xml:space="preserve">Autres dysgénésies gonadiques : </w:t>
      </w:r>
      <w:r>
        <w:rPr/>
        <w:t>Ovaires absents, pas d’autres malformations</w:t>
      </w:r>
    </w:p>
    <w:p>
      <w:pPr>
        <w:numPr>
          <w:ilvl w:val="2"/>
          <w:numId w:val="44"/>
        </w:numPr>
      </w:pPr>
      <w:r>
        <w:rPr>
          <w:b/>
        </w:rPr>
        <w:t xml:space="preserve">Anomalies ovariennes acquises : </w:t>
      </w:r>
      <w:r>
        <w:rPr/>
        <w:t>auto-immunes ou iatrogènes</w:t>
      </w:r>
    </w:p>
    <w:p>
      <w:pPr>
        <w:numPr>
          <w:ilvl w:val="1"/>
          <w:numId w:val="44"/>
        </w:numPr>
      </w:pPr>
      <w:r>
        <w:rPr>
          <w:b/>
        </w:rPr>
        <w:t xml:space="preserve">Causes hypothalamo-hypophysaire (HH) : </w:t>
      </w:r>
      <w:r>
        <w:rPr>
          <w:b/>
          <w:u w:val="single"/>
        </w:rPr>
        <w:t xml:space="preserve">FSH et LH </w:t>
      </w:r>
      <w:r>
        <w:rPr>
          <w:b/>
          <w:color w:val="FF0000"/>
          <w:u w:val="single"/>
        </w:rPr>
        <w:t>basses</w:t>
      </w:r>
    </w:p>
    <w:p>
      <w:pPr>
        <w:numPr>
          <w:ilvl w:val="2"/>
          <w:numId w:val="44"/>
        </w:numPr>
      </w:pPr>
      <w:r>
        <w:rPr>
          <w:b/>
        </w:rPr>
        <w:t>Syndrome de KALLMAN :</w:t>
      </w:r>
    </w:p>
    <w:p>
      <w:pPr>
        <w:numPr>
          <w:ilvl w:val="3"/>
          <w:numId w:val="44"/>
        </w:numPr>
      </w:pPr>
      <w:r>
        <w:rPr/>
        <w:t>Anomalie congénitale du centre olfactif</w:t>
      </w:r>
    </w:p>
    <w:p>
      <w:pPr>
        <w:numPr>
          <w:ilvl w:val="3"/>
          <w:numId w:val="44"/>
        </w:numPr>
      </w:pPr>
      <w:r>
        <w:rPr/>
        <w:t>Infantilisme</w:t>
      </w:r>
      <w:r>
        <w:rPr/>
      </w:r>
    </w:p>
    <w:p>
      <w:pPr>
        <w:numPr>
          <w:ilvl w:val="3"/>
          <w:numId w:val="44"/>
        </w:numPr>
      </w:pPr>
      <w:r>
        <w:rPr/>
        <w:t>Anosmie</w:t>
      </w:r>
    </w:p>
    <w:p>
      <w:pPr>
        <w:numPr>
          <w:ilvl w:val="3"/>
          <w:numId w:val="44"/>
        </w:numPr>
      </w:pPr>
      <w:r>
        <w:rPr/>
        <w:t>Retard mental</w:t>
      </w:r>
    </w:p>
    <w:p>
      <w:pPr>
        <w:numPr>
          <w:ilvl w:val="3"/>
          <w:numId w:val="44"/>
        </w:numPr>
      </w:pPr>
      <w:r>
        <w:rPr/>
        <w:t>Troubles visuels et moteurs</w:t>
      </w:r>
    </w:p>
    <w:p>
      <w:pPr>
        <w:numPr>
          <w:ilvl w:val="3"/>
          <w:numId w:val="44"/>
        </w:numPr>
      </w:pPr>
      <w:r>
        <w:rPr/>
        <w:t>Caryotype normal</w:t>
      </w:r>
    </w:p>
    <w:p>
      <w:pPr>
        <w:numPr>
          <w:ilvl w:val="2"/>
          <w:numId w:val="44"/>
        </w:numPr>
      </w:pPr>
      <w:r>
        <w:rPr>
          <w:b/>
        </w:rPr>
        <w:t xml:space="preserve">Hyperprolactinémie : </w:t>
      </w:r>
      <w:r>
        <w:rPr/>
        <w:t>tumorale ou non tumorale (</w:t>
      </w:r>
      <w:r>
        <w:rPr>
          <w:i/>
        </w:rPr>
        <w:t>aménorrhée + galactorrhée)</w:t>
      </w:r>
    </w:p>
    <w:p>
      <w:pPr>
        <w:numPr>
          <w:ilvl w:val="2"/>
          <w:numId w:val="44"/>
        </w:numPr>
      </w:pPr>
      <w:r>
        <w:rPr/>
        <w:t>Tumeur hypothalamo-hypophysaire : diagnostic par IRM</w:t>
      </w:r>
    </w:p>
    <w:p>
      <w:pPr>
        <w:numPr>
          <w:ilvl w:val="2"/>
          <w:numId w:val="44"/>
        </w:numPr>
      </w:pPr>
      <w:r>
        <w:rPr/>
        <w:t>Anorexie mentale</w:t>
      </w:r>
    </w:p>
    <w:p>
      <w:pPr>
        <w:numPr>
          <w:ilvl w:val="2"/>
          <w:numId w:val="44"/>
        </w:numPr>
      </w:pPr>
      <w:r>
        <w:rPr/>
        <w:t>Aménorrhée psychogène</w:t>
      </w:r>
    </w:p>
    <w:p>
      <w:pPr>
        <w:numPr>
          <w:ilvl w:val="2"/>
          <w:numId w:val="44"/>
        </w:numPr>
      </w:pPr>
      <w:r>
        <w:rPr/>
        <w:t>Aménorrhée des sportives de haut niveau</w:t>
      </w:r>
    </w:p>
    <w:p>
      <w:pPr>
        <w:numPr>
          <w:ilvl w:val="2"/>
          <w:numId w:val="44"/>
        </w:numPr>
      </w:pPr>
      <w:r>
        <w:rPr/>
        <w:t>Aménorrhée psychogène</w:t>
      </w:r>
    </w:p>
    <w:p>
      <w:pPr>
        <w:numPr>
          <w:ilvl w:val="2"/>
          <w:numId w:val="44"/>
        </w:numPr>
      </w:pPr>
      <w:r>
        <w:rPr/>
        <w:t xml:space="preserve">Causes endocriniennes : </w:t>
      </w:r>
      <w:r>
        <w:rPr>
          <w:b/>
        </w:rPr>
        <w:t>hypothyroïdie</w:t>
      </w:r>
    </w:p>
    <w:p>
      <w:pPr>
        <w:numPr>
          <w:ilvl w:val="2"/>
          <w:numId w:val="44"/>
        </w:numPr>
      </w:pPr>
      <w:r>
        <w:rPr>
          <w:b/>
        </w:rPr>
        <w:t>Retard pubertaire idiopathique :</w:t>
      </w:r>
    </w:p>
    <w:p>
      <w:pPr>
        <w:numPr>
          <w:ilvl w:val="3"/>
          <w:numId w:val="44"/>
        </w:numPr>
      </w:pPr>
      <w:r>
        <w:rPr/>
        <w:t>Axe fonctionnel mais au repos</w:t>
      </w:r>
    </w:p>
    <w:p>
      <w:pPr>
        <w:numPr>
          <w:ilvl w:val="3"/>
          <w:numId w:val="44"/>
        </w:numPr>
      </w:pPr>
      <w:r>
        <w:rPr/>
        <w:t>Test au LH-RH (+)</w:t>
      </w:r>
    </w:p>
    <w:p>
      <w:pPr>
        <w:numPr>
          <w:ilvl w:val="3"/>
          <w:numId w:val="44"/>
        </w:numPr>
      </w:pPr>
      <w:r>
        <w:rPr/>
        <w:t>Présence de cas familial</w:t>
      </w:r>
    </w:p>
    <w:p>
      <w:pPr>
        <w:pStyle w:val="Heading5"/>
        <w:numPr>
          <w:ilvl w:val="0"/>
          <w:numId w:val="44"/>
        </w:numPr>
      </w:pPr>
      <w:r>
        <w:rPr/>
        <w:t>Caractères sexuels secondaires normaux</w:t>
      </w:r>
    </w:p>
    <w:p>
      <w:pPr>
        <w:numPr>
          <w:ilvl w:val="0"/>
          <w:numId w:val="35"/>
        </w:numPr>
      </w:pPr>
      <w:r>
        <w:rPr>
          <w:b/>
        </w:rPr>
        <w:t xml:space="preserve">Anomalies utéro-vaginales </w:t>
      </w:r>
      <w:r>
        <w:rPr/>
        <w:t>(diagnostic clinique, traitement chirurgical)</w:t>
      </w:r>
    </w:p>
    <w:p>
      <w:pPr>
        <w:numPr>
          <w:ilvl w:val="1"/>
          <w:numId w:val="35"/>
        </w:numPr>
      </w:pPr>
      <w:r>
        <w:rPr/>
        <w:t xml:space="preserve">Imperforation de l’hymen : douleur chronique, </w:t>
      </w:r>
      <w:r>
        <w:rPr/>
        <w:t>hématocolpos</w:t>
      </w:r>
    </w:p>
    <w:p>
      <w:pPr>
        <w:numPr>
          <w:ilvl w:val="1"/>
          <w:numId w:val="35"/>
        </w:numPr>
      </w:pPr>
      <w:r>
        <w:rPr/>
        <w:t>Cloison vaginale transversale (Diag : écho et spéculum vierge</w:t>
      </w:r>
    </w:p>
    <w:p>
      <w:pPr>
        <w:numPr>
          <w:ilvl w:val="1"/>
          <w:numId w:val="35"/>
        </w:numPr>
      </w:pPr>
      <w:r>
        <w:rPr/>
        <w:t>Aplasie vaginale</w:t>
      </w:r>
      <w:r>
        <w:rPr/>
      </w:r>
    </w:p>
    <w:p>
      <w:pPr>
        <w:numPr>
          <w:ilvl w:val="1"/>
          <w:numId w:val="35"/>
        </w:numPr>
      </w:pPr>
      <w:r>
        <w:rPr/>
        <w:t xml:space="preserve">Syndrome de </w:t>
      </w:r>
      <w:r>
        <w:rPr/>
        <w:t>Rokotansk</w:t>
      </w:r>
      <w:r>
        <w:rPr/>
        <w:t>-</w:t>
      </w:r>
      <w:r>
        <w:rPr/>
        <w:t>kuster</w:t>
      </w:r>
      <w:r>
        <w:rPr/>
        <w:t>-hausser : aplasie vaginale et utérine</w:t>
      </w:r>
    </w:p>
    <w:p>
      <w:pPr>
        <w:numPr>
          <w:ilvl w:val="1"/>
          <w:numId w:val="35"/>
        </w:numPr>
      </w:pPr>
      <w:r>
        <w:rPr/>
        <w:t>Tuberculose génitale : responsable d’une synéchie utérine</w:t>
      </w:r>
      <w:r>
        <w:rPr/>
        <w:t xml:space="preserve"> </w:t>
      </w:r>
      <w:r>
        <w:rPr/>
        <w:t>(</w:t>
      </w:r>
      <w:r>
        <w:rPr>
          <w:i/>
        </w:rPr>
        <w:t>douleur pelvienne chronique)</w:t>
      </w:r>
      <w:r>
        <w:rPr/>
        <w:t xml:space="preserve">, </w:t>
      </w:r>
      <w:r>
        <w:rPr>
          <w:b/>
        </w:rPr>
        <w:t>antécédent de tuberculose</w:t>
      </w:r>
      <w:r>
        <w:rPr/>
      </w:r>
    </w:p>
    <w:p>
      <w:pPr>
        <w:numPr>
          <w:ilvl w:val="1"/>
          <w:numId w:val="35"/>
        </w:numPr>
      </w:pPr>
      <w:r>
        <w:rPr/>
        <w:t xml:space="preserve">Syndrome de </w:t>
      </w:r>
      <w:r>
        <w:rPr/>
        <w:t>Moris</w:t>
      </w:r>
      <w:r>
        <w:rPr/>
        <w:t xml:space="preserve"> : </w:t>
      </w:r>
    </w:p>
    <w:p>
      <w:pPr>
        <w:numPr>
          <w:ilvl w:val="2"/>
          <w:numId w:val="35"/>
        </w:numPr>
      </w:pPr>
      <w:r>
        <w:rPr/>
        <w:t xml:space="preserve">46XY, </w:t>
      </w:r>
    </w:p>
    <w:p>
      <w:pPr>
        <w:numPr>
          <w:ilvl w:val="2"/>
          <w:numId w:val="35"/>
        </w:numPr>
      </w:pPr>
      <w:r>
        <w:rPr>
          <w:i/>
        </w:rPr>
        <w:t xml:space="preserve">Sexe masculin </w:t>
      </w:r>
      <w:r>
        <w:rPr/>
        <w:t>mais de morphotype féminine (</w:t>
      </w:r>
      <w:r>
        <w:rPr>
          <w:i/>
        </w:rPr>
        <w:t>sans utérus ni ovaire, peut avoir des testicules au niveau de la région inguinale)</w:t>
      </w:r>
    </w:p>
    <w:p>
      <w:pPr/>
    </w:p>
    <w:p>
      <w:pPr/>
    </w:p>
    <w:p>
      <w:pPr>
        <w:pStyle w:val="Heading5"/>
        <w:numPr>
          <w:ilvl w:val="0"/>
          <w:numId w:val="45"/>
        </w:numPr>
      </w:pPr>
    </w:p>
    <w:p>
      <w:pPr>
        <w:numPr>
          <w:ilvl w:val="0"/>
          <w:numId w:val="45"/>
        </w:numPr>
      </w:pPr>
    </w:p>
    <w:p>
      <w:pPr>
        <w:pStyle w:val="Heading5"/>
        <w:numPr>
          <w:ilvl w:val="0"/>
          <w:numId w:val="45"/>
        </w:numPr>
      </w:pPr>
      <w:r>
        <w:rPr/>
        <w:t>Caractères sexuels secondaires virilisés (</w:t>
      </w:r>
      <w:r>
        <w:rPr>
          <w:i/>
        </w:rPr>
        <w:t>présence d’hirsutisme)</w:t>
      </w:r>
    </w:p>
    <w:p>
      <w:pPr>
        <w:numPr>
          <w:ilvl w:val="0"/>
          <w:numId w:val="35"/>
        </w:numPr>
      </w:pPr>
      <w:r>
        <w:rPr>
          <w:b/>
        </w:rPr>
        <w:t xml:space="preserve">Hyperplasie congénitale des surrénales : </w:t>
      </w:r>
      <w:r>
        <w:rPr/>
        <w:t>femme de petite taille, organes génitaux normaux, hypertrophie clitoridienne, bilan hormonal (</w:t>
      </w:r>
      <w:r>
        <w:rPr>
          <w:i/>
        </w:rPr>
        <w:t>dosage de testostérone, etc.)</w:t>
      </w:r>
    </w:p>
    <w:p>
      <w:pPr>
        <w:numPr>
          <w:ilvl w:val="0"/>
          <w:numId w:val="35"/>
        </w:numPr>
      </w:pPr>
      <w:r>
        <w:rPr/>
        <w:t>Causes tumorales : tumeurs ovariennes ou surrénaliennes, signe de virilisation important et d’apparition récente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36"/>
        </w:numPr>
      </w:pPr>
      <w:r>
        <w:rPr/>
        <w:t>Aménorrhée primaire : absence de ménarche après 16 ans</w:t>
      </w:r>
    </w:p>
    <w:p>
      <w:pPr>
        <w:numPr>
          <w:ilvl w:val="0"/>
          <w:numId w:val="36"/>
        </w:numPr>
      </w:pPr>
      <w:r>
        <w:rPr/>
        <w:t>Etiologies multiples mais avec possibilité d’une grossesse</w:t>
      </w:r>
    </w:p>
    <w:p>
      <w:pPr>
        <w:numPr>
          <w:ilvl w:val="0"/>
          <w:numId w:val="36"/>
        </w:numPr>
      </w:pPr>
      <w:r>
        <w:rPr/>
        <w:t>La démarche étiologique est orientée par l’âge osseux et la présence, l’absence ou la virilisation des caractères sexuels secondaires</w:t>
      </w:r>
    </w:p>
    <w:p>
      <w:pPr>
        <w:numPr>
          <w:ilvl w:val="0"/>
          <w:numId w:val="36"/>
        </w:numPr>
      </w:pPr>
      <w:r>
        <w:rPr/>
        <w:t>Ne pas passer à côté des causes curables : malformations vulvo-vaginales (</w:t>
      </w:r>
      <w:r>
        <w:rPr>
          <w:i/>
        </w:rPr>
        <w:t>imperforation hyménéale)</w:t>
      </w:r>
      <w:r>
        <w:rPr/>
        <w:t xml:space="preserve"> et la tuberculose génitale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