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DOULEUR PELVIENNE CHRONIQUE PERIODIQUE</w:t>
      </w:r>
    </w:p>
    <w:p>
      <w:pPr/>
    </w:p>
    <w:p>
      <w:pPr>
        <w:pStyle w:val="Heading2"/>
      </w:pPr>
      <w:r>
        <w:rPr/>
        <w:t>Objectifs :</w:t>
      </w:r>
    </w:p>
    <w:p>
      <w:pPr>
        <w:numPr>
          <w:ilvl w:val="0"/>
          <w:numId w:val="14"/>
        </w:numPr>
      </w:pPr>
      <w:r>
        <w:rPr/>
        <w:t>Conduire la démarche diagnostique devant une douleur pelvienne cyclique</w:t>
      </w:r>
    </w:p>
    <w:p>
      <w:pPr>
        <w:numPr>
          <w:ilvl w:val="0"/>
          <w:numId w:val="14"/>
        </w:numPr>
      </w:pPr>
      <w:r>
        <w:rPr/>
        <w:t>Enumérer trois étiologies de douleur pelvienne cyclique</w:t>
      </w:r>
    </w:p>
    <w:p>
      <w:pPr>
        <w:numPr>
          <w:ilvl w:val="0"/>
          <w:numId w:val="14"/>
        </w:numPr>
      </w:pPr>
      <w:r>
        <w:rPr/>
        <w:t>Citer deux principales étiologies de dysménorrhée organique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15"/>
        </w:numPr>
      </w:pPr>
      <w:r>
        <w:rPr>
          <w:b/>
        </w:rPr>
        <w:t xml:space="preserve">Douleur pelvienne : </w:t>
      </w:r>
      <w:r>
        <w:rPr/>
        <w:t xml:space="preserve">toute douleur localisée au niveau des </w:t>
      </w:r>
      <w:r>
        <w:rPr/>
        <w:t>quandrants</w:t>
      </w:r>
      <w:r>
        <w:rPr/>
        <w:t xml:space="preserve"> inférieurs de l’abdomen</w:t>
      </w:r>
    </w:p>
    <w:p>
      <w:pPr>
        <w:numPr>
          <w:ilvl w:val="0"/>
          <w:numId w:val="15"/>
        </w:numPr>
      </w:pPr>
      <w:r>
        <w:rPr/>
        <w:t>DPCC : douleur pelvienne chronique rythmée par le cycle : problème fréquent en gynécologie</w:t>
      </w:r>
    </w:p>
    <w:p>
      <w:pPr>
        <w:numPr>
          <w:ilvl w:val="0"/>
          <w:numId w:val="15"/>
        </w:numPr>
      </w:pPr>
      <w:r>
        <w:rPr/>
        <w:t>Prévalence : 38 pour 1000 femmes entre 15 et 75 ans</w:t>
      </w:r>
    </w:p>
    <w:p>
      <w:pPr>
        <w:numPr>
          <w:ilvl w:val="0"/>
          <w:numId w:val="15"/>
        </w:numPr>
      </w:pPr>
      <w:r>
        <w:rPr/>
        <w:t xml:space="preserve">Souvent accompagnée de retentissement </w:t>
      </w:r>
      <w:r>
        <w:rPr/>
        <w:t>comportemental</w:t>
      </w:r>
      <w:r>
        <w:rPr/>
      </w:r>
      <w:r>
        <w:rPr/>
        <w:t xml:space="preserve">, </w:t>
      </w:r>
      <w:r>
        <w:rPr/>
        <w:t>professionnel</w:t>
      </w:r>
      <w:r>
        <w:rPr/>
      </w:r>
      <w:r>
        <w:rPr/>
        <w:t xml:space="preserve"> et social (</w:t>
      </w:r>
      <w:r>
        <w:rPr>
          <w:i/>
        </w:rPr>
        <w:t>invalidante)</w:t>
      </w:r>
    </w:p>
    <w:p>
      <w:pPr/>
    </w:p>
    <w:p>
      <w:pPr>
        <w:pStyle w:val="Heading2"/>
      </w:pPr>
      <w:r>
        <w:rPr/>
        <w:t>DEMARCHE DIAGNOSTIQUE</w:t>
      </w:r>
      <w:r>
        <w:rPr/>
        <w:t xml:space="preserve"> </w:t>
      </w:r>
    </w:p>
    <w:p>
      <w:pPr>
        <w:pStyle w:val="Heading3"/>
      </w:pPr>
      <w:r>
        <w:rPr/>
        <w:t>INTERROGATOIRE :</w:t>
      </w:r>
    </w:p>
    <w:p>
      <w:pPr>
        <w:pStyle w:val="Heading4"/>
      </w:pPr>
      <w:r>
        <w:rPr/>
        <w:t>Antécédents</w:t>
      </w:r>
    </w:p>
    <w:p>
      <w:pPr>
        <w:numPr>
          <w:ilvl w:val="2"/>
          <w:numId w:val="16"/>
        </w:numPr>
      </w:pPr>
      <w:r>
        <w:rPr>
          <w:b/>
        </w:rPr>
        <w:t>Antécédents gynécologiques :</w:t>
      </w:r>
    </w:p>
    <w:p>
      <w:pPr>
        <w:numPr>
          <w:ilvl w:val="3"/>
          <w:numId w:val="16"/>
        </w:numPr>
      </w:pPr>
      <w:r>
        <w:rPr/>
        <w:t xml:space="preserve">Age de la patiente, âge de la </w:t>
      </w:r>
      <w:r>
        <w:rPr/>
        <w:t>ménarche</w:t>
      </w:r>
    </w:p>
    <w:p>
      <w:pPr>
        <w:numPr>
          <w:ilvl w:val="3"/>
          <w:numId w:val="16"/>
        </w:numPr>
      </w:pPr>
      <w:r>
        <w:rPr/>
        <w:t>Caractéristiques des cycles menstruels (</w:t>
      </w:r>
      <w:r>
        <w:rPr>
          <w:i/>
        </w:rPr>
        <w:t>régulier ou irrégulier)</w:t>
      </w:r>
    </w:p>
    <w:p>
      <w:pPr>
        <w:numPr>
          <w:ilvl w:val="3"/>
          <w:numId w:val="16"/>
        </w:numPr>
      </w:pPr>
      <w:r>
        <w:rPr/>
        <w:t>Caractéristiques des menstruations (</w:t>
      </w:r>
      <w:r>
        <w:rPr>
          <w:i/>
        </w:rPr>
        <w:t>durée, abondance)</w:t>
      </w:r>
    </w:p>
    <w:p>
      <w:pPr>
        <w:numPr>
          <w:ilvl w:val="3"/>
          <w:numId w:val="16"/>
        </w:numPr>
      </w:pPr>
      <w:r>
        <w:rPr/>
        <w:t>Signes associés</w:t>
      </w:r>
      <w:r>
        <w:rPr/>
        <w:t xml:space="preserve"> : syndrome prémenstruel (</w:t>
      </w:r>
      <w:r>
        <w:rPr>
          <w:i/>
        </w:rPr>
        <w:t xml:space="preserve">signes survenant avant l’apparition des menstruations) </w:t>
      </w:r>
      <w:r>
        <w:rPr/>
        <w:t>ou inter-menstruel (</w:t>
      </w:r>
      <w:r>
        <w:rPr>
          <w:i/>
        </w:rPr>
        <w:t xml:space="preserve">au milieu du cycle), </w:t>
      </w:r>
      <w:r>
        <w:rPr/>
        <w:t>dysménorrhée (</w:t>
      </w:r>
      <w:r>
        <w:rPr>
          <w:i/>
        </w:rPr>
        <w:t>douleur pendant les menstruations)</w:t>
      </w:r>
    </w:p>
    <w:p>
      <w:pPr>
        <w:numPr>
          <w:ilvl w:val="3"/>
          <w:numId w:val="16"/>
        </w:numPr>
      </w:pPr>
      <w:r>
        <w:rPr/>
        <w:t>Contraception (</w:t>
      </w:r>
      <w:r>
        <w:rPr>
          <w:i/>
        </w:rPr>
        <w:t xml:space="preserve">type : oral, DIU, </w:t>
      </w:r>
      <w:r>
        <w:rPr>
          <w:i/>
        </w:rPr>
        <w:t>implanon</w:t>
      </w:r>
      <w:r>
        <w:rPr>
          <w:i/>
        </w:rPr>
        <w:t xml:space="preserve"> </w:t>
      </w:r>
      <w:r>
        <w:rPr>
          <w:i/>
        </w:rPr>
        <w:t>; date de la pose, éventuels effets secondaires)</w:t>
      </w:r>
    </w:p>
    <w:p>
      <w:pPr>
        <w:numPr>
          <w:ilvl w:val="2"/>
          <w:numId w:val="16"/>
        </w:numPr>
      </w:pPr>
      <w:r>
        <w:rPr>
          <w:b/>
        </w:rPr>
        <w:t>Antécédents personnels :</w:t>
      </w:r>
    </w:p>
    <w:p>
      <w:pPr>
        <w:numPr>
          <w:ilvl w:val="3"/>
          <w:numId w:val="16"/>
        </w:numPr>
      </w:pPr>
      <w:r>
        <w:rPr/>
        <w:t>Infections génitales à répétition</w:t>
      </w:r>
    </w:p>
    <w:p>
      <w:pPr>
        <w:numPr>
          <w:ilvl w:val="3"/>
          <w:numId w:val="16"/>
        </w:numPr>
      </w:pPr>
      <w:r>
        <w:rPr/>
        <w:t>Notion de primo-infection tuberculeuse</w:t>
      </w:r>
    </w:p>
    <w:p>
      <w:pPr>
        <w:numPr>
          <w:ilvl w:val="3"/>
          <w:numId w:val="16"/>
        </w:numPr>
      </w:pPr>
      <w:r>
        <w:rPr/>
        <w:t>Antécédent de kyste de l’ovaire</w:t>
      </w:r>
    </w:p>
    <w:p>
      <w:pPr>
        <w:numPr>
          <w:ilvl w:val="3"/>
          <w:numId w:val="16"/>
        </w:numPr>
      </w:pPr>
      <w:r>
        <w:rPr/>
        <w:t>Antécédent de pathologies extra-génitales</w:t>
      </w:r>
    </w:p>
    <w:p>
      <w:pPr>
        <w:numPr>
          <w:ilvl w:val="3"/>
          <w:numId w:val="16"/>
        </w:numPr>
      </w:pPr>
      <w:r>
        <w:rPr/>
        <w:t>Antécédent d’intervention chirurgicale sur le pelvis (</w:t>
      </w:r>
      <w:r>
        <w:rPr>
          <w:i/>
        </w:rPr>
        <w:t xml:space="preserve">appendicectomie) : </w:t>
      </w:r>
      <w:r>
        <w:rPr/>
        <w:t>année, motif et les éventuelles complications</w:t>
      </w:r>
      <w:r>
        <w:rPr/>
        <w:br/>
      </w:r>
    </w:p>
    <w:p>
      <w:pPr>
        <w:numPr>
          <w:ilvl w:val="2"/>
          <w:numId w:val="16"/>
        </w:numPr>
      </w:pPr>
      <w:r>
        <w:rPr>
          <w:b/>
        </w:rPr>
        <w:t>Antécédents obstétricaux :</w:t>
      </w:r>
    </w:p>
    <w:p>
      <w:pPr>
        <w:numPr>
          <w:ilvl w:val="3"/>
          <w:numId w:val="16"/>
        </w:numPr>
      </w:pPr>
      <w:r>
        <w:rPr/>
        <w:t xml:space="preserve">Parité et </w:t>
      </w:r>
      <w:r>
        <w:rPr/>
        <w:t>gestité</w:t>
      </w:r>
    </w:p>
    <w:p>
      <w:pPr>
        <w:numPr>
          <w:ilvl w:val="3"/>
          <w:numId w:val="16"/>
        </w:numPr>
      </w:pPr>
      <w:r>
        <w:rPr/>
        <w:t>La modalité d’accouchement (</w:t>
      </w:r>
      <w:r>
        <w:rPr>
          <w:i/>
        </w:rPr>
        <w:t>année, voie basse ou césarienne, indications, lieux, complications)</w:t>
      </w:r>
      <w:r>
        <w:rPr/>
        <w:t xml:space="preserve"> et les suites de couches</w:t>
      </w:r>
    </w:p>
    <w:p>
      <w:pPr>
        <w:numPr>
          <w:ilvl w:val="3"/>
          <w:numId w:val="16"/>
        </w:numPr>
      </w:pPr>
      <w:r>
        <w:rPr/>
        <w:t>Notion d’avortement (spontané ou provoqué), notion de curetage (</w:t>
      </w:r>
      <w:r>
        <w:rPr>
          <w:i/>
        </w:rPr>
        <w:t>terme, dans quelles conditions, complications)</w:t>
      </w:r>
    </w:p>
    <w:p>
      <w:pPr>
        <w:numPr>
          <w:ilvl w:val="3"/>
          <w:numId w:val="16"/>
        </w:numPr>
      </w:pPr>
      <w:r>
        <w:rPr/>
        <w:t>Antécédent de Grossesse extra-utérine (GEU)</w:t>
      </w:r>
    </w:p>
    <w:p>
      <w:pPr>
        <w:numPr>
          <w:ilvl w:val="3"/>
          <w:numId w:val="16"/>
        </w:numPr>
      </w:pPr>
      <w:r>
        <w:rPr/>
        <w:t>Antécédent de geste endo-utérin récent</w:t>
      </w:r>
    </w:p>
    <w:p>
      <w:pPr>
        <w:numPr>
          <w:ilvl w:val="2"/>
          <w:numId w:val="16"/>
        </w:numPr>
      </w:pPr>
      <w:r>
        <w:rPr>
          <w:b/>
        </w:rPr>
        <w:t>Autres antécédents :</w:t>
      </w:r>
    </w:p>
    <w:p>
      <w:pPr>
        <w:numPr>
          <w:ilvl w:val="3"/>
          <w:numId w:val="16"/>
        </w:numPr>
      </w:pPr>
      <w:r>
        <w:rPr/>
        <w:t>Médicaux (maladies chroniques)</w:t>
      </w:r>
    </w:p>
    <w:p>
      <w:pPr>
        <w:numPr>
          <w:ilvl w:val="3"/>
          <w:numId w:val="16"/>
        </w:numPr>
      </w:pPr>
      <w:r>
        <w:rPr/>
        <w:t>Chirurgicaux (type et localisation)</w:t>
      </w:r>
    </w:p>
    <w:p>
      <w:pPr>
        <w:numPr>
          <w:ilvl w:val="3"/>
          <w:numId w:val="16"/>
        </w:numPr>
      </w:pPr>
      <w:r>
        <w:rPr/>
        <w:t>Toxique : tabac, alcool, drogue</w:t>
      </w:r>
    </w:p>
    <w:p>
      <w:pPr>
        <w:numPr>
          <w:ilvl w:val="2"/>
          <w:numId w:val="16"/>
        </w:numPr>
      </w:pPr>
      <w:r>
        <w:rPr>
          <w:b/>
        </w:rPr>
        <w:t>Antécédents familiaux :</w:t>
      </w:r>
    </w:p>
    <w:p>
      <w:pPr>
        <w:numPr>
          <w:ilvl w:val="3"/>
          <w:numId w:val="16"/>
        </w:numPr>
      </w:pPr>
      <w:r>
        <w:rPr/>
        <w:t>Pathologie digestive (</w:t>
      </w:r>
      <w:r>
        <w:rPr>
          <w:i/>
        </w:rPr>
        <w:t xml:space="preserve">MICI : douleur pelvienne chronique), </w:t>
      </w:r>
      <w:r>
        <w:rPr/>
        <w:t>cancers familiaux, histoire gynécologique (</w:t>
      </w:r>
      <w:r>
        <w:rPr>
          <w:i/>
        </w:rPr>
        <w:t>endométriose ?</w:t>
      </w:r>
      <w:r>
        <w:rPr>
          <w:i/>
        </w:rPr>
        <w:t>)</w:t>
      </w:r>
    </w:p>
    <w:p>
      <w:pPr>
        <w:numPr>
          <w:ilvl w:val="3"/>
          <w:numId w:val="16"/>
        </w:numPr>
      </w:pPr>
      <w:r>
        <w:rPr/>
        <w:t>Notion de contage tuberculeux (</w:t>
      </w:r>
      <w:r>
        <w:rPr>
          <w:i/>
        </w:rPr>
        <w:t>TB péritonéal : source de douleur pelvienne)</w:t>
      </w:r>
      <w:r>
        <w:rPr>
          <w:i/>
        </w:rPr>
        <w:br/>
      </w:r>
    </w:p>
    <w:p>
      <w:pPr>
        <w:pStyle w:val="Heading4"/>
      </w:pPr>
      <w:r>
        <w:rPr/>
        <w:t>Caractéristiques de la douleur :</w:t>
      </w:r>
    </w:p>
    <w:p>
      <w:pPr>
        <w:numPr>
          <w:ilvl w:val="2"/>
          <w:numId w:val="16"/>
        </w:numPr>
      </w:pPr>
      <w:r>
        <w:rPr/>
        <w:t>Intensité de la douleur : douleur aiguë, douleur chronique</w:t>
      </w:r>
    </w:p>
    <w:p>
      <w:pPr>
        <w:numPr>
          <w:ilvl w:val="2"/>
          <w:numId w:val="16"/>
        </w:numPr>
      </w:pPr>
      <w:r>
        <w:rPr>
          <w:b/>
        </w:rPr>
        <w:t>Périodicité de la douleur par rapport aux règles :</w:t>
      </w:r>
    </w:p>
    <w:p>
      <w:pPr>
        <w:numPr>
          <w:ilvl w:val="3"/>
          <w:numId w:val="16"/>
        </w:numPr>
      </w:pPr>
      <w:r>
        <w:rPr/>
        <w:t>Syndrome prémenstruel (avant les règles)</w:t>
      </w:r>
    </w:p>
    <w:p>
      <w:pPr>
        <w:numPr>
          <w:ilvl w:val="3"/>
          <w:numId w:val="16"/>
        </w:numPr>
      </w:pPr>
      <w:r>
        <w:rPr/>
        <w:t>Dysménorrhée (pendant les règles)</w:t>
      </w:r>
    </w:p>
    <w:p>
      <w:pPr>
        <w:numPr>
          <w:ilvl w:val="3"/>
          <w:numId w:val="16"/>
        </w:numPr>
      </w:pPr>
      <w:r>
        <w:rPr/>
        <w:t xml:space="preserve">Syndrome </w:t>
      </w:r>
      <w:r>
        <w:rPr/>
        <w:t>intermenstruel</w:t>
      </w:r>
      <w:r>
        <w:rPr/>
        <w:t xml:space="preserve"> (entre les cycles)</w:t>
      </w:r>
    </w:p>
    <w:p>
      <w:pPr>
        <w:numPr>
          <w:ilvl w:val="2"/>
          <w:numId w:val="16"/>
        </w:numPr>
      </w:pPr>
      <w:r>
        <w:rPr/>
        <w:t xml:space="preserve">Autres : </w:t>
      </w:r>
    </w:p>
    <w:p>
      <w:pPr>
        <w:numPr>
          <w:ilvl w:val="3"/>
          <w:numId w:val="16"/>
        </w:numPr>
      </w:pPr>
      <w:r>
        <w:rPr/>
        <w:t>Allure évolutive, position antalgique, efficacité de certaines classes d’antalgiques</w:t>
      </w:r>
    </w:p>
    <w:p>
      <w:pPr>
        <w:numPr>
          <w:ilvl w:val="3"/>
          <w:numId w:val="16"/>
        </w:numPr>
      </w:pPr>
      <w:r>
        <w:rPr/>
        <w:t>Siège, irradiations</w:t>
      </w:r>
    </w:p>
    <w:p>
      <w:pPr>
        <w:numPr>
          <w:ilvl w:val="3"/>
          <w:numId w:val="16"/>
        </w:numPr>
      </w:pPr>
      <w:r>
        <w:rPr/>
        <w:t>Type : tiraillement, déchirures (torsion d’annexe), coup de poing, pesanteur, ...</w:t>
      </w:r>
    </w:p>
    <w:p>
      <w:pPr>
        <w:numPr>
          <w:ilvl w:val="3"/>
          <w:numId w:val="16"/>
        </w:numPr>
      </w:pPr>
      <w:r>
        <w:rPr>
          <w:b/>
          <w:u w:val="single"/>
        </w:rPr>
        <w:t>Facteurs déclenchant</w:t>
      </w:r>
      <w:r>
        <w:rPr/>
        <w:t xml:space="preserve"> : efforts, </w:t>
      </w:r>
      <w:r>
        <w:rPr>
          <w:b/>
        </w:rPr>
        <w:t xml:space="preserve">rapports sexuels </w:t>
      </w:r>
      <w:r>
        <w:rPr/>
        <w:t xml:space="preserve">(dyspareunie </w:t>
      </w:r>
      <w:r>
        <w:rPr/>
        <w:t>profonde?</w:t>
      </w:r>
      <w:r>
        <w:rPr/>
        <w:t>), après un accouchement (syndrome de Masters-Allen), un curetage (synéchies, endométrite), une intervention chirurgicale (adhérences)</w:t>
      </w:r>
    </w:p>
    <w:p>
      <w:pPr>
        <w:numPr>
          <w:ilvl w:val="3"/>
          <w:numId w:val="16"/>
        </w:numPr>
      </w:pPr>
      <w:r>
        <w:rPr/>
        <w:t xml:space="preserve">Signes accompagnateurs : urinaires, digestifs, syndrome infectieux, troubles du </w:t>
      </w:r>
      <w:r>
        <w:rPr/>
        <w:t>cycle..</w:t>
      </w:r>
      <w:r>
        <w:rPr/>
        <w:t>/</w:t>
      </w:r>
    </w:p>
    <w:p>
      <w:pPr>
        <w:pStyle w:val="Heading3"/>
      </w:pPr>
      <w:r>
        <w:rPr/>
        <w:t>EXAMEN CLINIQUE :</w:t>
      </w:r>
    </w:p>
    <w:p>
      <w:pPr>
        <w:numPr>
          <w:ilvl w:val="2"/>
          <w:numId w:val="16"/>
        </w:numPr>
      </w:pPr>
      <w:r>
        <w:rPr/>
        <w:t>Poids, taille, TA, T°</w:t>
      </w:r>
    </w:p>
    <w:p>
      <w:pPr>
        <w:numPr>
          <w:ilvl w:val="2"/>
          <w:numId w:val="16"/>
        </w:numPr>
      </w:pPr>
      <w:r>
        <w:rPr/>
        <w:t>Signes de virilisation (</w:t>
      </w:r>
      <w:r>
        <w:rPr>
          <w:i/>
        </w:rPr>
        <w:t>hirsutisme, présence des poils au niveau des jambes...)</w:t>
      </w:r>
    </w:p>
    <w:p>
      <w:pPr>
        <w:numPr>
          <w:ilvl w:val="2"/>
          <w:numId w:val="16"/>
        </w:numPr>
      </w:pPr>
      <w:r>
        <w:rPr/>
        <w:t xml:space="preserve">Examen abdomino-pelvien : </w:t>
      </w:r>
    </w:p>
    <w:p>
      <w:pPr>
        <w:numPr>
          <w:ilvl w:val="3"/>
          <w:numId w:val="16"/>
        </w:numPr>
      </w:pPr>
      <w:r>
        <w:rPr/>
        <w:t>Météorisme</w:t>
      </w:r>
    </w:p>
    <w:p>
      <w:pPr>
        <w:numPr>
          <w:ilvl w:val="3"/>
          <w:numId w:val="16"/>
        </w:numPr>
      </w:pPr>
      <w:r>
        <w:rPr/>
        <w:t>Douleur provoquée</w:t>
      </w:r>
    </w:p>
    <w:p>
      <w:pPr>
        <w:numPr>
          <w:ilvl w:val="3"/>
          <w:numId w:val="16"/>
        </w:numPr>
      </w:pPr>
      <w:r>
        <w:rPr/>
        <w:t>Défense</w:t>
      </w:r>
    </w:p>
    <w:p>
      <w:pPr>
        <w:numPr>
          <w:ilvl w:val="3"/>
          <w:numId w:val="16"/>
        </w:numPr>
      </w:pPr>
      <w:r>
        <w:rPr/>
        <w:t>Contracture</w:t>
      </w:r>
    </w:p>
    <w:p>
      <w:pPr>
        <w:numPr>
          <w:ilvl w:val="3"/>
          <w:numId w:val="16"/>
        </w:numPr>
      </w:pPr>
      <w:r>
        <w:rPr/>
        <w:t>Masse pelvienne (</w:t>
      </w:r>
      <w:r>
        <w:rPr>
          <w:i/>
        </w:rPr>
        <w:t xml:space="preserve">à caractériser : volume, consistance, surface(régularité), </w:t>
      </w:r>
      <w:r>
        <w:rPr>
          <w:i/>
        </w:rPr>
        <w:t>douloureux ?</w:t>
      </w:r>
      <w:r>
        <w:rPr>
          <w:i/>
        </w:rPr>
        <w:t xml:space="preserve"> palpation combinée avec le TV : solidaire avec </w:t>
      </w:r>
      <w:r>
        <w:rPr>
          <w:i/>
        </w:rPr>
        <w:t>l’utérus ?</w:t>
      </w:r>
    </w:p>
    <w:p>
      <w:pPr>
        <w:numPr>
          <w:ilvl w:val="2"/>
          <w:numId w:val="16"/>
        </w:numPr>
      </w:pPr>
      <w:r>
        <w:rPr/>
        <w:t xml:space="preserve">Examen au spéculum : </w:t>
      </w:r>
      <w:r>
        <w:rPr/>
        <w:t>métrorragies, leucorrhées purulentes</w:t>
      </w:r>
      <w:r>
        <w:rPr/>
      </w:r>
      <w:r>
        <w:rPr/>
        <w:t xml:space="preserve">, aspect du col et du vagin (inflammation, </w:t>
      </w:r>
      <w:r>
        <w:rPr>
          <w:i/>
        </w:rPr>
        <w:t>masse, déchirure</w:t>
      </w:r>
      <w:r>
        <w:rPr/>
        <w:t>)</w:t>
      </w:r>
    </w:p>
    <w:p>
      <w:pPr>
        <w:numPr>
          <w:ilvl w:val="2"/>
          <w:numId w:val="16"/>
        </w:numPr>
      </w:pPr>
      <w:r>
        <w:rPr/>
        <w:t>Touchers pelviens : taille de l’utérus (</w:t>
      </w:r>
      <w:r>
        <w:rPr>
          <w:i/>
        </w:rPr>
        <w:t>augmenté de volume ou volume normal)</w:t>
      </w:r>
      <w:r>
        <w:rPr/>
        <w:t xml:space="preserve">, douleur provoquée, douleur à la mobilisation utérine, masse </w:t>
      </w:r>
      <w:r>
        <w:rPr/>
        <w:t>latéro</w:t>
      </w:r>
      <w:r>
        <w:rPr/>
        <w:t>-utérine, état du col</w:t>
      </w:r>
    </w:p>
    <w:p>
      <w:pPr>
        <w:pStyle w:val="Heading3"/>
      </w:pPr>
      <w:r>
        <w:rPr/>
        <w:t>EXAMENS PARACLINIQUES :</w:t>
      </w:r>
    </w:p>
    <w:p>
      <w:pPr>
        <w:numPr>
          <w:ilvl w:val="1"/>
          <w:numId w:val="16"/>
        </w:numPr>
      </w:pPr>
      <w:r>
        <w:rPr>
          <w:b/>
          <w:u w:val="single"/>
        </w:rPr>
        <w:t xml:space="preserve">Dosage de </w:t>
      </w:r>
      <w:r>
        <w:rPr>
          <w:b/>
          <w:u w:val="single"/>
        </w:rPr>
        <w:t>l’“</w:t>
      </w:r>
      <w:r>
        <w:rPr>
          <w:b/>
          <w:u w:val="single"/>
        </w:rPr>
        <w:t>human</w:t>
      </w:r>
      <w:r>
        <w:rPr>
          <w:b/>
          <w:u w:val="single"/>
        </w:rPr>
        <w:t xml:space="preserve"> </w:t>
      </w:r>
      <w:r>
        <w:rPr>
          <w:b/>
          <w:u w:val="single"/>
        </w:rPr>
        <w:t>Chorionic</w:t>
      </w:r>
      <w:r>
        <w:rPr>
          <w:b/>
          <w:u w:val="single"/>
        </w:rPr>
        <w:t xml:space="preserve"> </w:t>
      </w:r>
      <w:r>
        <w:rPr>
          <w:b/>
          <w:u w:val="single"/>
        </w:rPr>
        <w:t>Gonadotrophin</w:t>
      </w:r>
      <w:r>
        <w:rPr>
          <w:b/>
          <w:u w:val="single"/>
        </w:rPr>
        <w:t xml:space="preserve"> (hCG)</w:t>
      </w:r>
    </w:p>
    <w:p>
      <w:pPr>
        <w:numPr>
          <w:ilvl w:val="2"/>
          <w:numId w:val="16"/>
        </w:numPr>
      </w:pPr>
      <w:r>
        <w:rPr>
          <w:b/>
        </w:rPr>
        <w:t xml:space="preserve">Systématique </w:t>
      </w:r>
      <w:r>
        <w:rPr/>
        <w:t>devant toute douleur pelvienne aiguë, surtout si associée à des métrorragies (</w:t>
      </w:r>
      <w:r>
        <w:rPr>
          <w:i/>
        </w:rPr>
        <w:t>saignement)</w:t>
      </w:r>
    </w:p>
    <w:p>
      <w:pPr>
        <w:numPr>
          <w:ilvl w:val="2"/>
          <w:numId w:val="16"/>
        </w:numPr>
      </w:pPr>
      <w:r>
        <w:rPr/>
        <w:t>Si positif : grossesse</w:t>
      </w:r>
    </w:p>
    <w:p>
      <w:pPr>
        <w:numPr>
          <w:ilvl w:val="1"/>
          <w:numId w:val="16"/>
        </w:numPr>
      </w:pPr>
      <w:r>
        <w:rPr>
          <w:b/>
        </w:rPr>
        <w:t>Numération formule sanguin</w:t>
      </w:r>
    </w:p>
    <w:p>
      <w:pPr>
        <w:numPr>
          <w:ilvl w:val="2"/>
          <w:numId w:val="16"/>
        </w:numPr>
      </w:pPr>
      <w:r>
        <w:rPr/>
        <w:t>Hyperleucocytose</w:t>
      </w:r>
    </w:p>
    <w:p>
      <w:pPr>
        <w:numPr>
          <w:ilvl w:val="2"/>
          <w:numId w:val="16"/>
        </w:numPr>
      </w:pPr>
      <w:r>
        <w:rPr/>
        <w:t xml:space="preserve">Anémie </w:t>
      </w:r>
    </w:p>
    <w:p>
      <w:pPr>
        <w:numPr>
          <w:ilvl w:val="1"/>
          <w:numId w:val="16"/>
        </w:numPr>
      </w:pPr>
      <w:r>
        <w:rPr>
          <w:b/>
        </w:rPr>
        <w:t>Dosage de la protéine C-réactive CRP)</w:t>
      </w:r>
    </w:p>
    <w:p>
      <w:pPr>
        <w:numPr>
          <w:ilvl w:val="1"/>
          <w:numId w:val="16"/>
        </w:numPr>
      </w:pPr>
      <w:r>
        <w:rPr>
          <w:b/>
          <w:u w:val="single"/>
        </w:rPr>
        <w:t xml:space="preserve">Prélèvements </w:t>
      </w:r>
      <w:r>
        <w:rPr>
          <w:b/>
          <w:u w:val="single"/>
        </w:rPr>
        <w:t>cervicovaginaux</w:t>
      </w:r>
      <w:r>
        <w:rPr>
          <w:b/>
          <w:u w:val="single"/>
        </w:rPr>
        <w:t xml:space="preserve"> :</w:t>
      </w:r>
    </w:p>
    <w:p>
      <w:pPr>
        <w:numPr>
          <w:ilvl w:val="2"/>
          <w:numId w:val="16"/>
        </w:numPr>
      </w:pPr>
      <w:r>
        <w:rPr/>
        <w:t>Systématiques devant toute suspicion d’infection génitale</w:t>
      </w:r>
    </w:p>
    <w:p>
      <w:pPr>
        <w:numPr>
          <w:ilvl w:val="1"/>
          <w:numId w:val="16"/>
        </w:numPr>
      </w:pPr>
      <w:r>
        <w:rPr>
          <w:b/>
        </w:rPr>
        <w:t>Bandelette urinaire et examen cytobactériologique des urines (ECBU)</w:t>
      </w:r>
    </w:p>
    <w:p>
      <w:pPr>
        <w:numPr>
          <w:ilvl w:val="2"/>
          <w:numId w:val="16"/>
        </w:numPr>
      </w:pPr>
      <w:r>
        <w:rPr/>
        <w:t>Si infection urinaire associée (</w:t>
      </w:r>
      <w:r>
        <w:rPr>
          <w:i/>
        </w:rPr>
        <w:t>signes urinaires à l’interrogatoire)</w:t>
      </w:r>
      <w:r>
        <w:rPr>
          <w:i/>
        </w:rPr>
        <w:br/>
      </w:r>
    </w:p>
    <w:p>
      <w:pPr>
        <w:numPr>
          <w:ilvl w:val="1"/>
          <w:numId w:val="16"/>
        </w:numPr>
      </w:pPr>
      <w:r>
        <w:rPr>
          <w:b/>
          <w:u w:val="single"/>
        </w:rPr>
        <w:t xml:space="preserve">Echographie abdomino-pelvienne </w:t>
      </w:r>
      <w:r>
        <w:rPr>
          <w:b/>
        </w:rPr>
        <w:t xml:space="preserve">et </w:t>
      </w:r>
      <w:r>
        <w:rPr>
          <w:b/>
        </w:rPr>
        <w:t>endovaginale</w:t>
      </w:r>
    </w:p>
    <w:p>
      <w:pPr>
        <w:numPr>
          <w:ilvl w:val="2"/>
          <w:numId w:val="16"/>
        </w:numPr>
      </w:pPr>
      <w:r>
        <w:rPr/>
        <w:t>Pour rechercher les étiologies</w:t>
      </w:r>
    </w:p>
    <w:p>
      <w:pPr>
        <w:numPr>
          <w:ilvl w:val="2"/>
          <w:numId w:val="16"/>
        </w:numPr>
      </w:pPr>
      <w:r>
        <w:rPr/>
        <w:t>Permet d’étudier :</w:t>
      </w:r>
    </w:p>
    <w:p>
      <w:pPr>
        <w:numPr>
          <w:ilvl w:val="3"/>
          <w:numId w:val="16"/>
        </w:numPr>
      </w:pPr>
      <w:r>
        <w:rPr/>
        <w:t>L’utérus</w:t>
      </w:r>
      <w:r>
        <w:rPr/>
        <w:t xml:space="preserve"> : fibrome +/- nécrosé, malformation</w:t>
      </w:r>
    </w:p>
    <w:p>
      <w:pPr>
        <w:numPr>
          <w:ilvl w:val="3"/>
          <w:numId w:val="16"/>
        </w:numPr>
      </w:pPr>
      <w:r>
        <w:rPr/>
        <w:t xml:space="preserve">Ovaires : kyste (kyste </w:t>
      </w:r>
      <w:r>
        <w:rPr/>
        <w:t>endométriosique</w:t>
      </w:r>
      <w:r>
        <w:rPr/>
        <w:t xml:space="preserve"> ou endométriome)</w:t>
      </w:r>
    </w:p>
    <w:p>
      <w:pPr>
        <w:numPr>
          <w:ilvl w:val="3"/>
          <w:numId w:val="16"/>
        </w:numPr>
      </w:pPr>
      <w:r>
        <w:rPr/>
        <w:t>Les reins, les uretères, la vessie</w:t>
      </w:r>
    </w:p>
    <w:p>
      <w:pPr>
        <w:numPr>
          <w:ilvl w:val="1"/>
          <w:numId w:val="16"/>
        </w:numPr>
      </w:pPr>
      <w:r>
        <w:rPr>
          <w:b/>
        </w:rPr>
        <w:t>Autres examens :</w:t>
      </w:r>
    </w:p>
    <w:p>
      <w:pPr>
        <w:numPr>
          <w:ilvl w:val="2"/>
          <w:numId w:val="16"/>
        </w:numPr>
      </w:pPr>
      <w:r>
        <w:rPr/>
        <w:t>Réalisés en fonction du contexte et de l’examen clinique</w:t>
      </w:r>
    </w:p>
    <w:p>
      <w:pPr>
        <w:numPr>
          <w:ilvl w:val="3"/>
          <w:numId w:val="16"/>
        </w:numPr>
      </w:pPr>
      <w:r>
        <w:rPr/>
        <w:t>Scanner</w:t>
      </w:r>
    </w:p>
    <w:p>
      <w:pPr>
        <w:numPr>
          <w:ilvl w:val="3"/>
          <w:numId w:val="16"/>
        </w:numPr>
      </w:pPr>
      <w:r>
        <w:rPr/>
        <w:t xml:space="preserve">IRM : si suspicion </w:t>
      </w:r>
      <w:r>
        <w:rPr/>
        <w:t>d’endométriose</w:t>
      </w:r>
      <w:r>
        <w:rPr/>
      </w:r>
      <w:r>
        <w:rPr/>
        <w:t xml:space="preserve"> profonde</w:t>
      </w:r>
    </w:p>
    <w:p>
      <w:pPr>
        <w:numPr>
          <w:ilvl w:val="3"/>
          <w:numId w:val="16"/>
        </w:numPr>
      </w:pPr>
      <w:r>
        <w:rPr/>
        <w:t>Coelioscopie : très utile (</w:t>
      </w:r>
      <w:r>
        <w:rPr>
          <w:i/>
        </w:rPr>
        <w:t xml:space="preserve">diagnostique et opératoire) </w:t>
      </w:r>
    </w:p>
    <w:p>
      <w:pPr/>
    </w:p>
    <w:p>
      <w:pPr>
        <w:pStyle w:val="Heading2"/>
      </w:pPr>
      <w:r>
        <w:rPr/>
        <w:t>ETIOLOGIES</w:t>
      </w:r>
    </w:p>
    <w:p>
      <w:pPr>
        <w:numPr>
          <w:ilvl w:val="0"/>
          <w:numId w:val="17"/>
        </w:numPr>
      </w:pPr>
      <w:r>
        <w:rPr/>
        <w:t>Trois groupes d’étiologies :</w:t>
      </w:r>
    </w:p>
    <w:p>
      <w:pPr>
        <w:numPr>
          <w:ilvl w:val="1"/>
          <w:numId w:val="17"/>
        </w:numPr>
      </w:pPr>
      <w:r>
        <w:rPr/>
        <w:t>Syndrome inter-menstruel</w:t>
      </w:r>
    </w:p>
    <w:p>
      <w:pPr>
        <w:numPr>
          <w:ilvl w:val="1"/>
          <w:numId w:val="17"/>
        </w:numPr>
      </w:pPr>
      <w:r>
        <w:rPr/>
        <w:t xml:space="preserve">Syndrome </w:t>
      </w:r>
      <w:r>
        <w:rPr/>
        <w:t>prémenstruel</w:t>
      </w:r>
    </w:p>
    <w:p>
      <w:pPr>
        <w:numPr>
          <w:ilvl w:val="1"/>
          <w:numId w:val="17"/>
        </w:numPr>
      </w:pPr>
      <w:r>
        <w:rPr/>
        <w:t xml:space="preserve">Dysménorrhées, </w:t>
      </w:r>
      <w:r>
        <w:rPr/>
        <w:t>algoménorrhées</w:t>
      </w:r>
      <w:r>
        <w:rPr/>
        <w:br/>
      </w:r>
    </w:p>
    <w:p>
      <w:pPr>
        <w:pStyle w:val="Heading3"/>
        <w:ind w:left="1115"/>
      </w:pPr>
      <w:r>
        <w:rPr/>
        <w:t xml:space="preserve">Syndrome </w:t>
      </w:r>
      <w:r>
        <w:rPr/>
        <w:t>inter menstruel</w:t>
      </w:r>
    </w:p>
    <w:p>
      <w:pPr>
        <w:numPr>
          <w:ilvl w:val="0"/>
          <w:numId w:val="18"/>
        </w:numPr>
      </w:pPr>
      <w:r>
        <w:rPr/>
        <w:t xml:space="preserve">Survient </w:t>
      </w:r>
      <w:r>
        <w:rPr>
          <w:b/>
        </w:rPr>
        <w:t xml:space="preserve">vers J14 </w:t>
      </w:r>
      <w:r>
        <w:rPr/>
        <w:t xml:space="preserve">(au </w:t>
      </w:r>
      <w:r>
        <w:rPr/>
        <w:t>milieu</w:t>
      </w:r>
      <w:r>
        <w:rPr/>
        <w:t xml:space="preserve"> du cycle)</w:t>
      </w:r>
    </w:p>
    <w:p>
      <w:pPr>
        <w:numPr>
          <w:ilvl w:val="0"/>
          <w:numId w:val="18"/>
        </w:numPr>
      </w:pPr>
      <w:r>
        <w:rPr>
          <w:b/>
        </w:rPr>
        <w:t xml:space="preserve">Pesanteur pelvienne diffuse de courte durée </w:t>
      </w:r>
      <w:r>
        <w:rPr/>
        <w:t>(1j)</w:t>
      </w:r>
    </w:p>
    <w:p>
      <w:pPr>
        <w:numPr>
          <w:ilvl w:val="0"/>
          <w:numId w:val="18"/>
        </w:numPr>
      </w:pPr>
      <w:r>
        <w:rPr/>
        <w:t xml:space="preserve">Parfois métrorragie </w:t>
      </w:r>
      <w:r>
        <w:rPr/>
        <w:t>inter menstruelle</w:t>
      </w:r>
    </w:p>
    <w:p>
      <w:pPr>
        <w:numPr>
          <w:ilvl w:val="0"/>
          <w:numId w:val="18"/>
        </w:numPr>
      </w:pPr>
      <w:r>
        <w:rPr>
          <w:b/>
        </w:rPr>
        <w:t>Gonflement abdomino-pelvien</w:t>
      </w:r>
    </w:p>
    <w:p>
      <w:pPr>
        <w:numPr>
          <w:ilvl w:val="0"/>
          <w:numId w:val="18"/>
        </w:numPr>
      </w:pPr>
      <w:r>
        <w:rPr/>
        <w:t>Signes d’imprégnation oestrogénique (</w:t>
      </w:r>
      <w:r>
        <w:rPr>
          <w:i/>
        </w:rPr>
        <w:t>douleur mammaire associée)</w:t>
      </w:r>
    </w:p>
    <w:p>
      <w:pPr>
        <w:numPr>
          <w:ilvl w:val="0"/>
          <w:numId w:val="18"/>
        </w:numPr>
      </w:pPr>
      <w:r>
        <w:rPr/>
        <w:t>Examens complémentaires inutiles</w:t>
      </w:r>
    </w:p>
    <w:p>
      <w:pPr>
        <w:numPr>
          <w:ilvl w:val="0"/>
          <w:numId w:val="18"/>
        </w:numPr>
      </w:pPr>
      <w:r>
        <w:rPr/>
        <w:t xml:space="preserve">Prise en charge symptomatique par un antalgique </w:t>
      </w:r>
      <w:r>
        <w:rPr>
          <w:i/>
        </w:rPr>
        <w:t xml:space="preserve">ou un antispasmodique </w:t>
      </w:r>
      <w:r>
        <w:rPr/>
        <w:t xml:space="preserve">(après avoir éliminé toutes les urgences : grossesse, </w:t>
      </w:r>
      <w:r>
        <w:rPr/>
        <w:t>etc</w:t>
      </w:r>
      <w:r>
        <w:rPr/>
        <w:t xml:space="preserve"> : examens obligatoires</w:t>
      </w:r>
    </w:p>
    <w:p>
      <w:pPr/>
    </w:p>
    <w:p>
      <w:pPr>
        <w:pStyle w:val="Heading3"/>
        <w:ind w:left="1115"/>
      </w:pPr>
      <w:r>
        <w:rPr/>
        <w:t>Syndrome prémenstruel</w:t>
      </w:r>
    </w:p>
    <w:p>
      <w:pPr>
        <w:numPr>
          <w:ilvl w:val="0"/>
          <w:numId w:val="19"/>
        </w:numPr>
      </w:pPr>
      <w:r>
        <w:rPr/>
        <w:t xml:space="preserve">Seconde phase de cycle, précèdent les règles et </w:t>
      </w:r>
      <w:r>
        <w:rPr/>
        <w:t>disparaîssent</w:t>
      </w:r>
      <w:r>
        <w:rPr/>
        <w:t xml:space="preserve"> avec l’apparition de celles-ci</w:t>
      </w:r>
    </w:p>
    <w:p>
      <w:pPr>
        <w:numPr>
          <w:ilvl w:val="0"/>
          <w:numId w:val="19"/>
        </w:numPr>
      </w:pPr>
      <w:r>
        <w:rPr/>
        <w:t xml:space="preserve">Signes associés : </w:t>
      </w:r>
      <w:r>
        <w:rPr>
          <w:b/>
        </w:rPr>
        <w:t xml:space="preserve">mastodynies, congestion pelvienne, irritabilité et anxiété, céphalées, migraines cataméniales, </w:t>
      </w:r>
      <w:r>
        <w:rPr>
          <w:b/>
        </w:rPr>
        <w:t>oedèmes</w:t>
      </w:r>
    </w:p>
    <w:p>
      <w:pPr>
        <w:numPr>
          <w:ilvl w:val="0"/>
          <w:numId w:val="19"/>
        </w:numPr>
      </w:pPr>
      <w:r>
        <w:rPr/>
        <w:t xml:space="preserve">Examen gynécologique normal </w:t>
      </w:r>
    </w:p>
    <w:p>
      <w:pPr>
        <w:numPr>
          <w:ilvl w:val="0"/>
          <w:numId w:val="19"/>
        </w:numPr>
      </w:pPr>
      <w:r>
        <w:rPr/>
        <w:t xml:space="preserve">Prise en charge symptomatique </w:t>
      </w:r>
      <w:r>
        <w:rPr>
          <w:i/>
        </w:rPr>
        <w:t xml:space="preserve">(antalgique, antispasmodique, anti-inflammatoire) </w:t>
      </w:r>
      <w:r>
        <w:rPr/>
        <w:t>ou progestatifs</w:t>
      </w:r>
    </w:p>
    <w:p>
      <w:pPr/>
    </w:p>
    <w:p>
      <w:pPr>
        <w:pStyle w:val="Heading3"/>
      </w:pPr>
      <w:r>
        <w:rPr/>
        <w:t xml:space="preserve">Dysménorrhées ou </w:t>
      </w:r>
      <w:r>
        <w:rPr/>
        <w:t>algoménorrhées</w:t>
      </w:r>
    </w:p>
    <w:p>
      <w:pPr>
        <w:numPr>
          <w:ilvl w:val="0"/>
          <w:numId w:val="20"/>
        </w:numPr>
      </w:pPr>
      <w:r>
        <w:rPr/>
        <w:t xml:space="preserve">Phénomènes douloureux </w:t>
      </w:r>
      <w:r>
        <w:rPr/>
        <w:t>contemporains</w:t>
      </w:r>
      <w:r>
        <w:rPr/>
        <w:t xml:space="preserve"> aux règles : douleur pelvienne, troubles digestifs, céphalées, </w:t>
      </w:r>
      <w:r>
        <w:rPr/>
        <w:t>œdèmes</w:t>
      </w:r>
      <w:r>
        <w:rPr/>
        <w:t xml:space="preserve">, </w:t>
      </w:r>
      <w:r>
        <w:rPr>
          <w:i/>
        </w:rPr>
        <w:t>douleur au niveau des lombes</w:t>
      </w:r>
    </w:p>
    <w:p>
      <w:pPr>
        <w:numPr>
          <w:ilvl w:val="0"/>
          <w:numId w:val="20"/>
        </w:numPr>
      </w:pPr>
      <w:r>
        <w:rPr/>
        <w:t>Deux types :</w:t>
      </w:r>
    </w:p>
    <w:p>
      <w:pPr>
        <w:numPr>
          <w:ilvl w:val="1"/>
          <w:numId w:val="20"/>
        </w:numPr>
      </w:pPr>
      <w:r>
        <w:rPr/>
        <w:t>Dysménorrhée primaire ou essentielle si pas de cause organique</w:t>
      </w:r>
    </w:p>
    <w:p>
      <w:pPr>
        <w:numPr>
          <w:ilvl w:val="1"/>
          <w:numId w:val="20"/>
        </w:numPr>
      </w:pPr>
      <w:r>
        <w:rPr/>
        <w:t>Dysménorrhée secondaire</w:t>
      </w:r>
    </w:p>
    <w:p>
      <w:pPr>
        <w:pStyle w:val="Heading4"/>
        <w:ind w:left="1096"/>
      </w:pPr>
      <w:r>
        <w:rPr/>
        <w:t xml:space="preserve">Dysménorrhées primaires </w:t>
      </w:r>
    </w:p>
    <w:p>
      <w:pPr>
        <w:numPr>
          <w:ilvl w:val="0"/>
          <w:numId w:val="21"/>
        </w:numPr>
      </w:pPr>
      <w:r>
        <w:rPr/>
        <w:t>Hypercontractilité</w:t>
      </w:r>
      <w:r>
        <w:rPr/>
        <w:t xml:space="preserve"> du myomètre</w:t>
      </w:r>
    </w:p>
    <w:p>
      <w:pPr>
        <w:numPr>
          <w:ilvl w:val="0"/>
          <w:numId w:val="21"/>
        </w:numPr>
      </w:pPr>
      <w:r>
        <w:rPr/>
        <w:t>Troubles hormonaux</w:t>
      </w:r>
    </w:p>
    <w:p>
      <w:pPr>
        <w:numPr>
          <w:ilvl w:val="0"/>
          <w:numId w:val="21"/>
        </w:numPr>
      </w:pPr>
      <w:r>
        <w:rPr/>
        <w:t>Facteurs psychologiques (</w:t>
      </w:r>
      <w:r>
        <w:rPr>
          <w:i/>
        </w:rPr>
        <w:t>stress, anxiété)</w:t>
      </w:r>
    </w:p>
    <w:p>
      <w:pPr>
        <w:numPr>
          <w:ilvl w:val="0"/>
          <w:numId w:val="21"/>
        </w:numPr>
      </w:pPr>
      <w:r>
        <w:rPr/>
        <w:t>Examen gynécologique normal ou malformation génitale : imperforation hyménale, diaphragme vaginal (</w:t>
      </w:r>
      <w:r>
        <w:rPr>
          <w:i/>
        </w:rPr>
        <w:t>douleur mensuelle sans apparition de règle ---&gt; consultation gynéco)</w:t>
      </w:r>
    </w:p>
    <w:p>
      <w:pPr>
        <w:numPr>
          <w:ilvl w:val="0"/>
          <w:numId w:val="21"/>
        </w:numPr>
      </w:pPr>
      <w:r>
        <w:rPr/>
        <w:t>Traitement : abstention ou AINS ou oestro-progestatifs</w:t>
      </w:r>
    </w:p>
    <w:p>
      <w:pPr/>
    </w:p>
    <w:p>
      <w:pPr>
        <w:pStyle w:val="Heading4"/>
      </w:pPr>
      <w:r>
        <w:rPr/>
        <w:t>Dysménorrhées secondaires ou organiques</w:t>
      </w:r>
    </w:p>
    <w:p>
      <w:pPr>
        <w:numPr>
          <w:ilvl w:val="0"/>
          <w:numId w:val="22"/>
        </w:numPr>
      </w:pPr>
      <w:r>
        <w:rPr/>
        <w:t>Endométriose : présence du tissu endométrial en dehors de la cavité utérine (</w:t>
      </w:r>
      <w:r>
        <w:rPr>
          <w:i/>
        </w:rPr>
        <w:t>peuvent se disséminer dans la cavité péritonéale -&gt; inflammation chronique au niveau de la vessie, intestin)</w:t>
      </w:r>
    </w:p>
    <w:p>
      <w:pPr>
        <w:numPr>
          <w:ilvl w:val="1"/>
          <w:numId w:val="22"/>
        </w:numPr>
      </w:pPr>
      <w:r>
        <w:rPr/>
        <w:t xml:space="preserve">Douleurs chroniques à recrudescence prémenstruelle associée ou non à une dyspareunie profonde, </w:t>
      </w:r>
      <w:r>
        <w:rPr/>
        <w:t>dyschésie</w:t>
      </w:r>
      <w:r>
        <w:rPr/>
      </w:r>
      <w:r>
        <w:rPr/>
        <w:t>, troubles urinaires, infertilité</w:t>
      </w:r>
    </w:p>
    <w:p>
      <w:pPr>
        <w:numPr>
          <w:ilvl w:val="1"/>
          <w:numId w:val="22"/>
        </w:numPr>
      </w:pPr>
      <w:r>
        <w:rPr>
          <w:b/>
        </w:rPr>
        <w:t xml:space="preserve">Coelioscopie </w:t>
      </w:r>
      <w:r>
        <w:rPr>
          <w:b/>
          <w:i/>
        </w:rPr>
        <w:t>diagnostique ++++</w:t>
      </w:r>
    </w:p>
    <w:p>
      <w:pPr>
        <w:numPr>
          <w:ilvl w:val="0"/>
          <w:numId w:val="22"/>
        </w:numPr>
      </w:pPr>
      <w:r>
        <w:rPr/>
        <w:t xml:space="preserve">Adénomyose utérine : </w:t>
      </w:r>
      <w:r>
        <w:rPr>
          <w:i/>
        </w:rPr>
        <w:t xml:space="preserve">(autre forme d’endométriose) : </w:t>
      </w:r>
      <w:r>
        <w:rPr/>
        <w:t>endomètre pénétrant dans le myomètre</w:t>
      </w:r>
    </w:p>
    <w:p>
      <w:pPr>
        <w:numPr>
          <w:ilvl w:val="0"/>
          <w:numId w:val="22"/>
        </w:numPr>
      </w:pPr>
      <w:r>
        <w:rPr/>
        <w:t xml:space="preserve">Séquelles d’infections génitales </w:t>
      </w:r>
      <w:r>
        <w:rPr>
          <w:i/>
        </w:rPr>
        <w:t xml:space="preserve">(haute : surtout l’infection à </w:t>
      </w:r>
      <w:r>
        <w:rPr>
          <w:i/>
        </w:rPr>
        <w:t>Chlamydia</w:t>
      </w:r>
      <w:r>
        <w:rPr>
          <w:i/>
        </w:rPr>
        <w:t>)</w:t>
      </w:r>
    </w:p>
    <w:p>
      <w:pPr>
        <w:numPr>
          <w:ilvl w:val="0"/>
          <w:numId w:val="22"/>
        </w:numPr>
      </w:pPr>
      <w:r>
        <w:rPr/>
        <w:t>Malformations utéro-vaginales</w:t>
      </w:r>
    </w:p>
    <w:p>
      <w:pPr>
        <w:numPr>
          <w:ilvl w:val="0"/>
          <w:numId w:val="22"/>
        </w:numPr>
      </w:pPr>
      <w:r>
        <w:rPr/>
        <w:t>Sténose du col (congénitale ou acquise)</w:t>
      </w:r>
      <w:r>
        <w:rPr/>
        <w:br/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23"/>
        </w:numPr>
      </w:pPr>
      <w:r>
        <w:rPr/>
        <w:t xml:space="preserve">Devant une douleur pelvienne cyclique, il faut </w:t>
      </w:r>
    </w:p>
    <w:p>
      <w:pPr>
        <w:numPr>
          <w:ilvl w:val="1"/>
          <w:numId w:val="23"/>
        </w:numPr>
      </w:pPr>
      <w:r>
        <w:rPr/>
        <w:t>Un interrogatoire bien conduit : caractère de la douleur par rapport au cycle menstruel, recherche des antécédents</w:t>
      </w:r>
    </w:p>
    <w:p>
      <w:pPr>
        <w:numPr>
          <w:ilvl w:val="1"/>
          <w:numId w:val="23"/>
        </w:numPr>
      </w:pPr>
      <w:r>
        <w:rPr/>
        <w:t>Examen clinique minutieux</w:t>
      </w:r>
    </w:p>
    <w:p>
      <w:pPr>
        <w:numPr>
          <w:ilvl w:val="0"/>
          <w:numId w:val="23"/>
        </w:numPr>
      </w:pPr>
      <w:r>
        <w:rPr/>
        <w:t xml:space="preserve">Etiologies : </w:t>
      </w:r>
    </w:p>
    <w:p>
      <w:pPr>
        <w:numPr>
          <w:ilvl w:val="1"/>
          <w:numId w:val="23"/>
        </w:numPr>
      </w:pPr>
      <w:r>
        <w:rPr/>
        <w:t>Syndromes prémenstruels</w:t>
      </w:r>
    </w:p>
    <w:p>
      <w:pPr>
        <w:numPr>
          <w:ilvl w:val="1"/>
          <w:numId w:val="23"/>
        </w:numPr>
      </w:pPr>
      <w:r>
        <w:rPr/>
        <w:t>Inter menstruel</w:t>
      </w:r>
    </w:p>
    <w:p>
      <w:pPr>
        <w:numPr>
          <w:ilvl w:val="1"/>
          <w:numId w:val="23"/>
        </w:numPr>
      </w:pPr>
      <w:r>
        <w:rPr/>
        <w:t>Dysménorrhée (endométriose, sténose du col++)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