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GALACTORRHEE : OD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75"/>
        </w:numPr>
      </w:pPr>
      <w:r>
        <w:rPr>
          <w:color w:val="000000"/>
        </w:rPr>
        <w:t>Poser le diagnostic</w:t>
      </w:r>
    </w:p>
    <w:p>
      <w:pPr>
        <w:numPr>
          <w:ilvl w:val="0"/>
          <w:numId w:val="75"/>
        </w:numPr>
      </w:pPr>
      <w:r>
        <w:rPr>
          <w:color w:val="000000"/>
        </w:rPr>
        <w:t xml:space="preserve">Connaitre les principales étiologies </w:t>
      </w:r>
    </w:p>
    <w:p>
      <w:pPr>
        <w:numPr>
          <w:ilvl w:val="0"/>
          <w:numId w:val="75"/>
        </w:numPr>
      </w:pPr>
      <w:r>
        <w:rPr>
          <w:color w:val="000000"/>
        </w:rPr>
        <w:t>Donner les principes de prise en charge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0"/>
          <w:numId w:val="76"/>
        </w:numPr>
      </w:pPr>
      <w:r>
        <w:rPr>
          <w:color w:val="000000"/>
        </w:rPr>
        <w:t>Ecoulement mamelonnaire lactescent provenant des pores galactophoriques, en dehors de la grossesse, du post-partum immédiat et 6 à 12 mois à distance de l’allaitement</w:t>
      </w:r>
    </w:p>
    <w:p>
      <w:pPr/>
    </w:p>
    <w:p>
      <w:pPr>
        <w:pStyle w:val="Heading3"/>
      </w:pPr>
      <w:r>
        <w:rPr/>
        <w:t>Intérêts</w:t>
      </w:r>
      <w:r>
        <w:rPr/>
        <w:t xml:space="preserve"> </w:t>
      </w:r>
    </w:p>
    <w:p>
      <w:pPr>
        <w:numPr>
          <w:ilvl w:val="0"/>
          <w:numId w:val="77"/>
        </w:numPr>
      </w:pPr>
      <w:r>
        <w:rPr>
          <w:color w:val="000000"/>
        </w:rPr>
        <w:t>3 à 10% des pathologies mammaires</w:t>
      </w:r>
    </w:p>
    <w:p>
      <w:pPr>
        <w:numPr>
          <w:ilvl w:val="0"/>
          <w:numId w:val="77"/>
        </w:numPr>
      </w:pPr>
      <w:r>
        <w:rPr>
          <w:color w:val="000000"/>
        </w:rPr>
        <w:t>Troisième motif de consultation sénologique après mastodynie et masse mammaire</w:t>
      </w:r>
    </w:p>
    <w:p>
      <w:pPr/>
    </w:p>
    <w:p>
      <w:pPr>
        <w:pStyle w:val="Heading2"/>
      </w:pPr>
      <w:r>
        <w:rPr/>
        <w:t>DEMARCHE DIAGNOSTIQUE</w:t>
      </w:r>
    </w:p>
    <w:p>
      <w:pPr>
        <w:pStyle w:val="Heading3"/>
      </w:pPr>
      <w:r>
        <w:rPr/>
        <w:t>INTERROGATOIRE</w:t>
      </w:r>
      <w:r>
        <w:rPr/>
      </w:r>
    </w:p>
    <w:p>
      <w:pPr>
        <w:numPr>
          <w:ilvl w:val="0"/>
          <w:numId w:val="78"/>
        </w:numPr>
      </w:pPr>
      <w:r>
        <w:rPr>
          <w:color w:val="000000"/>
        </w:rPr>
        <w:t>Date de début, caractère spontané ou provoqué</w:t>
      </w:r>
    </w:p>
    <w:p>
      <w:pPr>
        <w:numPr>
          <w:ilvl w:val="0"/>
          <w:numId w:val="78"/>
        </w:numPr>
      </w:pPr>
      <w:r>
        <w:rPr>
          <w:color w:val="000000"/>
        </w:rPr>
        <w:t xml:space="preserve">Couleur, aspect, provenance : </w:t>
      </w:r>
      <w:r>
        <w:rPr>
          <w:color w:val="000000"/>
        </w:rPr>
        <w:t>unipore</w:t>
      </w:r>
      <w:r>
        <w:rPr>
          <w:color w:val="000000"/>
        </w:rPr>
        <w:t xml:space="preserve"> ou </w:t>
      </w:r>
      <w:r>
        <w:rPr>
          <w:b/>
          <w:color w:val="000000"/>
        </w:rPr>
        <w:t>multipore</w:t>
      </w:r>
      <w:r>
        <w:rPr>
          <w:color w:val="000000"/>
        </w:rPr>
        <w:t>, unilatérale ou bilatérale</w:t>
      </w:r>
    </w:p>
    <w:p>
      <w:pPr>
        <w:numPr>
          <w:ilvl w:val="0"/>
          <w:numId w:val="78"/>
        </w:numPr>
      </w:pPr>
      <w:r>
        <w:rPr>
          <w:color w:val="000000"/>
        </w:rPr>
        <w:t>Ecoulement intermittent ou continu</w:t>
      </w:r>
    </w:p>
    <w:p>
      <w:pPr>
        <w:numPr>
          <w:ilvl w:val="0"/>
          <w:numId w:val="78"/>
        </w:numPr>
      </w:pPr>
      <w:r>
        <w:rPr>
          <w:color w:val="000000"/>
        </w:rPr>
        <w:t>SF associés :</w:t>
      </w:r>
    </w:p>
    <w:p>
      <w:pPr>
        <w:numPr>
          <w:ilvl w:val="1"/>
          <w:numId w:val="78"/>
        </w:numPr>
      </w:pPr>
      <w:r>
        <w:rPr>
          <w:color w:val="000000"/>
        </w:rPr>
        <w:t>Signes sympathiques de la grossesse, mastodynie</w:t>
      </w:r>
    </w:p>
    <w:p>
      <w:pPr>
        <w:numPr>
          <w:ilvl w:val="1"/>
          <w:numId w:val="78"/>
        </w:numPr>
      </w:pPr>
      <w:r>
        <w:rPr>
          <w:color w:val="000000"/>
        </w:rPr>
        <w:t>Signes d’hyperprolactinémie : trouble du cycle, baisse de libido, infertilité</w:t>
      </w:r>
    </w:p>
    <w:p>
      <w:pPr>
        <w:numPr>
          <w:ilvl w:val="1"/>
          <w:numId w:val="78"/>
        </w:numPr>
      </w:pPr>
      <w:r>
        <w:rPr>
          <w:color w:val="000000"/>
        </w:rPr>
        <w:t>Signes en rapport avec une lésion compressive hypothalamo-hypophysaire</w:t>
      </w:r>
      <w:r>
        <w:rPr>
          <w:color w:val="000000"/>
        </w:rPr>
        <w:br/>
      </w:r>
    </w:p>
    <w:p>
      <w:pPr>
        <w:numPr>
          <w:ilvl w:val="0"/>
          <w:numId w:val="78"/>
        </w:numPr>
      </w:pPr>
      <w:r>
        <w:rPr>
          <w:color w:val="000000"/>
        </w:rPr>
        <w:t>Antécédents</w:t>
      </w:r>
    </w:p>
    <w:p>
      <w:pPr>
        <w:numPr>
          <w:ilvl w:val="1"/>
          <w:numId w:val="78"/>
        </w:numPr>
      </w:pPr>
      <w:r>
        <w:rPr>
          <w:color w:val="000000"/>
        </w:rPr>
        <w:t xml:space="preserve">Prise médicamenteuse : </w:t>
      </w:r>
      <w:r>
        <w:rPr>
          <w:i/>
          <w:color w:val="000000"/>
        </w:rPr>
        <w:t>IPP, métoclopramide, Haldol*</w:t>
      </w:r>
    </w:p>
    <w:p>
      <w:pPr>
        <w:numPr>
          <w:ilvl w:val="1"/>
          <w:numId w:val="78"/>
        </w:numPr>
      </w:pPr>
      <w:r>
        <w:rPr>
          <w:color w:val="000000"/>
        </w:rPr>
        <w:t>Insuffisance rénale chronique</w:t>
      </w:r>
    </w:p>
    <w:p>
      <w:pPr>
        <w:numPr>
          <w:ilvl w:val="1"/>
          <w:numId w:val="78"/>
        </w:numPr>
      </w:pPr>
      <w:r>
        <w:rPr>
          <w:color w:val="000000"/>
        </w:rPr>
        <w:t>Insuffisance hépatique</w:t>
      </w:r>
    </w:p>
    <w:p>
      <w:pPr>
        <w:numPr>
          <w:ilvl w:val="1"/>
          <w:numId w:val="78"/>
        </w:numPr>
      </w:pPr>
      <w:r>
        <w:rPr>
          <w:color w:val="000000"/>
        </w:rPr>
        <w:t>Endocrinopathie</w:t>
      </w:r>
      <w:r>
        <w:rPr>
          <w:color w:val="000000"/>
        </w:rPr>
        <w:t xml:space="preserve"> : hypothyroïdie</w:t>
      </w:r>
    </w:p>
    <w:p>
      <w:pPr>
        <w:numPr>
          <w:ilvl w:val="1"/>
          <w:numId w:val="78"/>
        </w:numPr>
      </w:pPr>
      <w:r>
        <w:rPr>
          <w:color w:val="000000"/>
        </w:rPr>
        <w:t>SOPK</w:t>
      </w:r>
    </w:p>
    <w:p>
      <w:pPr/>
    </w:p>
    <w:p>
      <w:pPr>
        <w:pStyle w:val="Heading3"/>
      </w:pPr>
      <w:r>
        <w:rPr/>
        <w:t>EXAMEN CLINIQUE</w:t>
      </w:r>
    </w:p>
    <w:p>
      <w:pPr>
        <w:numPr>
          <w:ilvl w:val="0"/>
          <w:numId w:val="79"/>
        </w:numPr>
      </w:pPr>
      <w:r>
        <w:rPr>
          <w:color w:val="000000"/>
        </w:rPr>
        <w:t>Confirme le diagnostic de galactorrhée</w:t>
      </w:r>
    </w:p>
    <w:p>
      <w:pPr>
        <w:numPr>
          <w:ilvl w:val="0"/>
          <w:numId w:val="79"/>
        </w:numPr>
      </w:pPr>
      <w:r>
        <w:rPr>
          <w:color w:val="000000"/>
        </w:rPr>
        <w:t>L’écoulement doit être recherché en position assise et allongée</w:t>
      </w:r>
    </w:p>
    <w:p>
      <w:pPr>
        <w:numPr>
          <w:ilvl w:val="0"/>
          <w:numId w:val="79"/>
        </w:numPr>
      </w:pPr>
      <w:r>
        <w:rPr>
          <w:color w:val="000000"/>
        </w:rPr>
        <w:t>Le sein doit être massé dans les 4 quadrants puis en ramenant l’écoulement jusqu’à l’aréole</w:t>
      </w:r>
      <w:r>
        <w:rPr/>
      </w:r>
    </w:p>
    <w:p>
      <w:pPr/>
    </w:p>
    <w:p>
      <w:pPr>
        <w:pStyle w:val="Heading3"/>
      </w:pPr>
      <w:r>
        <w:rPr/>
        <w:t>EXAMEN PARACLINIQUE</w:t>
      </w:r>
    </w:p>
    <w:p>
      <w:pPr>
        <w:numPr>
          <w:ilvl w:val="0"/>
          <w:numId w:val="80"/>
        </w:numPr>
      </w:pPr>
      <w:r>
        <w:rPr>
          <w:color w:val="000000"/>
        </w:rPr>
        <w:t>Dosage de la prolactinémie</w:t>
      </w:r>
    </w:p>
    <w:p>
      <w:pPr>
        <w:numPr>
          <w:ilvl w:val="1"/>
          <w:numId w:val="80"/>
        </w:numPr>
      </w:pPr>
      <w:r>
        <w:rPr>
          <w:color w:val="000000"/>
        </w:rPr>
        <w:t xml:space="preserve">5-20 </w:t>
      </w:r>
      <w:r>
        <w:rPr>
          <w:color w:val="000000"/>
        </w:rPr>
        <w:t>ng</w:t>
      </w:r>
      <w:r>
        <w:rPr>
          <w:color w:val="000000"/>
        </w:rPr>
        <w:t>/l</w:t>
      </w:r>
      <w:r>
        <w:rPr>
          <w:color w:val="000000"/>
        </w:rPr>
        <w:br/>
      </w:r>
    </w:p>
    <w:p>
      <w:pPr>
        <w:numPr>
          <w:ilvl w:val="0"/>
          <w:numId w:val="80"/>
        </w:numPr>
      </w:pPr>
      <w:r>
        <w:rPr>
          <w:color w:val="000000"/>
        </w:rPr>
        <w:t xml:space="preserve">Les principaux tests utilisés : tests de stimulations à la TRH et aux </w:t>
      </w:r>
      <w:r>
        <w:rPr>
          <w:color w:val="000000"/>
        </w:rPr>
        <w:t>antidopaminergiques</w:t>
      </w:r>
      <w:r>
        <w:rPr>
          <w:color w:val="000000"/>
        </w:rPr>
        <w:t xml:space="preserve"> (métoclopramide, dompéridone) utilisés isolément ou de façon combinée</w:t>
      </w:r>
    </w:p>
    <w:p>
      <w:pPr>
        <w:numPr>
          <w:ilvl w:val="0"/>
          <w:numId w:val="80"/>
        </w:numPr>
      </w:pPr>
      <w:r>
        <w:rPr>
          <w:color w:val="000000"/>
        </w:rPr>
        <w:t xml:space="preserve">LE PRINCIPE : Réponse normale à la prolactine lors des tests rend peu vraisemblable l’existence d’une lésion </w:t>
      </w:r>
      <w:r>
        <w:rPr>
          <w:color w:val="000000"/>
        </w:rPr>
        <w:t>hypothalamohypophysaire</w:t>
      </w:r>
      <w:r>
        <w:rPr>
          <w:color w:val="000000"/>
        </w:rPr>
        <w:t xml:space="preserve"> et permet d’éviter la réalisation d’une IRM</w:t>
      </w:r>
      <w:r>
        <w:rPr>
          <w:color w:val="000000"/>
        </w:rPr>
        <w:br/>
      </w:r>
    </w:p>
    <w:p>
      <w:pPr>
        <w:numPr>
          <w:ilvl w:val="0"/>
          <w:numId w:val="80"/>
        </w:numPr>
      </w:pPr>
      <w:r>
        <w:rPr>
          <w:color w:val="000000"/>
        </w:rPr>
        <w:t>Si la prolactine est élevée : IRM hypophysaire avec injection de gadolinium</w:t>
      </w:r>
    </w:p>
    <w:p>
      <w:pPr>
        <w:numPr>
          <w:ilvl w:val="1"/>
          <w:numId w:val="80"/>
        </w:numPr>
      </w:pPr>
      <w:r>
        <w:rPr>
          <w:color w:val="000000"/>
        </w:rPr>
        <w:t>Ainsi que par un bilan biologique complet : TSH, ionogramme sanguin, urée, créatinine, bilan hépatique complet, TP, FSH, LH, bêta-hCG plasmatique</w:t>
      </w:r>
    </w:p>
    <w:p>
      <w:pPr/>
    </w:p>
    <w:p>
      <w:pPr>
        <w:pStyle w:val="Heading2"/>
      </w:pPr>
      <w:r>
        <w:rPr/>
        <w:t>ETIOLOGIES</w:t>
      </w:r>
    </w:p>
    <w:p>
      <w:pPr>
        <w:numPr>
          <w:ilvl w:val="0"/>
          <w:numId w:val="81"/>
        </w:numPr>
      </w:pPr>
      <w:r>
        <w:rPr>
          <w:color w:val="000000"/>
        </w:rPr>
        <w:t>Galactorrhée physiologique</w:t>
      </w:r>
    </w:p>
    <w:p>
      <w:pPr>
        <w:numPr>
          <w:ilvl w:val="0"/>
          <w:numId w:val="81"/>
        </w:numPr>
      </w:pPr>
      <w:r>
        <w:rPr>
          <w:color w:val="000000"/>
        </w:rPr>
        <w:t>Galactorrhée avec hyperprolactinémie</w:t>
      </w:r>
    </w:p>
    <w:p>
      <w:pPr>
        <w:numPr>
          <w:ilvl w:val="0"/>
          <w:numId w:val="81"/>
        </w:numPr>
      </w:pPr>
      <w:r>
        <w:rPr>
          <w:color w:val="000000"/>
        </w:rPr>
        <w:t>Galactorrhée sans hyperprolactinémie</w:t>
      </w:r>
    </w:p>
    <w:p>
      <w:pPr/>
    </w:p>
    <w:p>
      <w:pPr>
        <w:pStyle w:val="Heading3"/>
      </w:pPr>
      <w:r>
        <w:rPr/>
        <w:t>GALACTORRHEE PHYSIOLOGIQUE</w:t>
      </w:r>
    </w:p>
    <w:p>
      <w:pPr>
        <w:numPr>
          <w:ilvl w:val="0"/>
          <w:numId w:val="82"/>
        </w:numPr>
      </w:pPr>
      <w:r>
        <w:rPr>
          <w:color w:val="000000"/>
        </w:rPr>
        <w:t>Grossesse</w:t>
      </w:r>
      <w:r>
        <w:rPr/>
      </w:r>
      <w:r>
        <w:rPr>
          <w:color w:val="000000"/>
        </w:rPr>
        <w:t xml:space="preserve"> et allaitement</w:t>
      </w:r>
    </w:p>
    <w:p>
      <w:pPr>
        <w:numPr>
          <w:ilvl w:val="0"/>
          <w:numId w:val="82"/>
        </w:numPr>
      </w:pPr>
      <w:r>
        <w:rPr>
          <w:color w:val="000000"/>
        </w:rPr>
        <w:t>Stress important, activité physique intense, crise convulsive</w:t>
      </w:r>
    </w:p>
    <w:p>
      <w:pPr>
        <w:numPr>
          <w:ilvl w:val="0"/>
          <w:numId w:val="82"/>
        </w:numPr>
      </w:pPr>
      <w:r>
        <w:rPr>
          <w:color w:val="000000"/>
        </w:rPr>
        <w:t xml:space="preserve">Stimulation du mamelon, traumatisme/brûlure de la paroi </w:t>
      </w:r>
      <w:r>
        <w:rPr>
          <w:color w:val="000000"/>
        </w:rPr>
        <w:t>thorarcique</w:t>
      </w:r>
    </w:p>
    <w:p>
      <w:pPr>
        <w:numPr>
          <w:ilvl w:val="0"/>
          <w:numId w:val="82"/>
        </w:numPr>
      </w:pPr>
      <w:r>
        <w:rPr>
          <w:color w:val="000000"/>
        </w:rPr>
        <w:t>Sommeil</w:t>
      </w:r>
    </w:p>
    <w:p>
      <w:pPr/>
    </w:p>
    <w:p>
      <w:pPr>
        <w:pStyle w:val="Heading3"/>
      </w:pPr>
      <w:r>
        <w:rPr/>
        <w:t>GALACTORRHEE AVEC HYPERPROLACTINEMIE</w:t>
      </w:r>
    </w:p>
    <w:p>
      <w:pPr>
        <w:pStyle w:val="Heading4"/>
      </w:pPr>
      <w:r>
        <w:rPr/>
        <w:t>Macroprolactinémie</w:t>
      </w:r>
      <w:r>
        <w:rPr/>
        <w:t xml:space="preserve"> :</w:t>
      </w:r>
    </w:p>
    <w:p>
      <w:pPr>
        <w:numPr>
          <w:ilvl w:val="0"/>
          <w:numId w:val="83"/>
        </w:numPr>
      </w:pPr>
      <w:r>
        <w:rPr>
          <w:color w:val="000000"/>
        </w:rPr>
        <w:t>Galactorrhée isolée sans trouble de cycle</w:t>
      </w:r>
    </w:p>
    <w:p>
      <w:pPr>
        <w:numPr>
          <w:ilvl w:val="0"/>
          <w:numId w:val="83"/>
        </w:numPr>
      </w:pPr>
      <w:r>
        <w:rPr>
          <w:color w:val="000000"/>
        </w:rPr>
        <w:t>Absence de normalisation de la prolactine par un traitement préalable par les agonistes dopaminergiques</w:t>
      </w:r>
    </w:p>
    <w:p>
      <w:pPr>
        <w:numPr>
          <w:ilvl w:val="0"/>
          <w:numId w:val="83"/>
        </w:numPr>
      </w:pPr>
      <w:r>
        <w:rPr>
          <w:color w:val="000000"/>
        </w:rPr>
        <w:t>Prolactinémie : modérément élevée</w:t>
      </w:r>
    </w:p>
    <w:p>
      <w:pPr/>
    </w:p>
    <w:p>
      <w:pPr>
        <w:pStyle w:val="Heading4"/>
      </w:pPr>
      <w:r>
        <w:rPr/>
        <w:t>Adénome hypophysaire</w:t>
      </w:r>
    </w:p>
    <w:p>
      <w:pPr>
        <w:numPr>
          <w:ilvl w:val="0"/>
          <w:numId w:val="84"/>
        </w:numPr>
      </w:pPr>
      <w:r>
        <w:rPr>
          <w:color w:val="000000"/>
        </w:rPr>
        <w:t>Clinique : galactorrhée, trouble sexuel</w:t>
      </w:r>
    </w:p>
    <w:p>
      <w:pPr>
        <w:numPr>
          <w:ilvl w:val="0"/>
          <w:numId w:val="84"/>
        </w:numPr>
      </w:pPr>
      <w:r>
        <w:rPr>
          <w:color w:val="000000"/>
        </w:rPr>
        <w:t>Paraclinique : prolactinémie modérément élevée</w:t>
      </w:r>
    </w:p>
    <w:p>
      <w:pPr>
        <w:numPr>
          <w:ilvl w:val="1"/>
          <w:numId w:val="84"/>
        </w:numPr>
      </w:pPr>
      <w:r>
        <w:rPr>
          <w:color w:val="000000"/>
        </w:rPr>
        <w:t xml:space="preserve">Diagnostic posé par </w:t>
      </w:r>
      <w:r>
        <w:rPr>
          <w:b/>
          <w:color w:val="000000"/>
        </w:rPr>
        <w:t>l’IRM hypophysaire</w:t>
      </w:r>
    </w:p>
    <w:p>
      <w:pPr>
        <w:numPr>
          <w:ilvl w:val="0"/>
          <w:numId w:val="84"/>
        </w:numPr>
      </w:pPr>
      <w:r>
        <w:rPr>
          <w:b/>
          <w:color w:val="000000"/>
        </w:rPr>
        <w:t>Prolactinome</w:t>
      </w:r>
      <w:r>
        <w:rPr>
          <w:b/>
          <w:color w:val="000000"/>
        </w:rPr>
        <w:t xml:space="preserve"> +++ :</w:t>
      </w:r>
    </w:p>
    <w:p>
      <w:pPr>
        <w:numPr>
          <w:ilvl w:val="1"/>
          <w:numId w:val="84"/>
        </w:numPr>
      </w:pPr>
      <w:r>
        <w:rPr>
          <w:color w:val="000000"/>
        </w:rPr>
        <w:t>Microprolactinome</w:t>
      </w:r>
      <w:r>
        <w:rPr>
          <w:color w:val="000000"/>
        </w:rPr>
        <w:t xml:space="preserve"> : tumeur &lt; 01 cm, prolactinémie &lt; 200 µg/l</w:t>
      </w:r>
    </w:p>
    <w:p>
      <w:pPr>
        <w:numPr>
          <w:ilvl w:val="1"/>
          <w:numId w:val="84"/>
        </w:numPr>
      </w:pPr>
      <w:r>
        <w:rPr>
          <w:color w:val="000000"/>
        </w:rPr>
        <w:t>Macroprolactinome</w:t>
      </w:r>
      <w:r>
        <w:rPr>
          <w:color w:val="000000"/>
        </w:rPr>
        <w:t xml:space="preserve"> : prolactinémie &gt; 200 µg/l voire 1000 µg/l </w:t>
      </w:r>
      <w:r>
        <w:rPr>
          <w:i/>
          <w:color w:val="000000"/>
        </w:rPr>
        <w:t xml:space="preserve">(taille &gt; </w:t>
      </w:r>
      <w:r>
        <w:rPr>
          <w:i/>
          <w:color w:val="000000"/>
        </w:rPr>
        <w:t>microprolactinome</w:t>
      </w:r>
      <w:r>
        <w:rPr>
          <w:i/>
          <w:color w:val="000000"/>
        </w:rPr>
        <w:t>)</w:t>
      </w:r>
    </w:p>
    <w:p>
      <w:pPr>
        <w:numPr>
          <w:ilvl w:val="0"/>
          <w:numId w:val="84"/>
        </w:numPr>
      </w:pPr>
      <w:r>
        <w:rPr>
          <w:b/>
          <w:color w:val="000000"/>
        </w:rPr>
        <w:t xml:space="preserve">Si </w:t>
      </w:r>
      <w:r>
        <w:rPr>
          <w:b/>
          <w:color w:val="000000"/>
        </w:rPr>
        <w:t>macroadénome</w:t>
      </w:r>
      <w:r>
        <w:rPr>
          <w:b/>
          <w:color w:val="000000"/>
        </w:rPr>
        <w:t xml:space="preserve"> : </w:t>
      </w:r>
      <w:r>
        <w:rPr>
          <w:color w:val="000000"/>
        </w:rPr>
        <w:t>recherche de signes tumoraux</w:t>
      </w:r>
    </w:p>
    <w:p>
      <w:pPr/>
    </w:p>
    <w:p>
      <w:pPr>
        <w:pStyle w:val="Heading4"/>
      </w:pPr>
      <w:r>
        <w:rPr/>
        <w:t>Lésion hypothalamique de la tige pituitaire</w:t>
      </w:r>
    </w:p>
    <w:p>
      <w:pPr>
        <w:numPr>
          <w:ilvl w:val="0"/>
          <w:numId w:val="85"/>
        </w:numPr>
      </w:pPr>
      <w:r>
        <w:rPr>
          <w:color w:val="000000"/>
        </w:rPr>
        <w:t>Craniopharyngiome, lésion hypothalamique (tumeur primitive ou secondaire)</w:t>
      </w:r>
    </w:p>
    <w:p>
      <w:pPr>
        <w:numPr>
          <w:ilvl w:val="0"/>
          <w:numId w:val="85"/>
        </w:numPr>
      </w:pPr>
      <w:r>
        <w:rPr>
          <w:color w:val="000000"/>
        </w:rPr>
        <w:t>Hystiocytose</w:t>
      </w:r>
      <w:r>
        <w:rPr>
          <w:color w:val="000000"/>
        </w:rPr>
        <w:t xml:space="preserve"> X, Tuberculose, Sarcoïdose</w:t>
      </w:r>
    </w:p>
    <w:p>
      <w:pPr>
        <w:numPr>
          <w:ilvl w:val="0"/>
          <w:numId w:val="85"/>
        </w:numPr>
      </w:pPr>
      <w:r>
        <w:rPr>
          <w:color w:val="000000"/>
        </w:rPr>
        <w:t>Lésion de la tige pituitaire : traumatique ou secondaire à une masse (hyperprolactinémie de déconnexion)</w:t>
      </w:r>
    </w:p>
    <w:p>
      <w:pPr>
        <w:numPr>
          <w:ilvl w:val="0"/>
          <w:numId w:val="85"/>
        </w:numPr>
      </w:pPr>
      <w:r>
        <w:rPr>
          <w:color w:val="000000"/>
        </w:rPr>
        <w:t>Métastase hypophysaire</w:t>
      </w:r>
    </w:p>
    <w:p>
      <w:pPr>
        <w:numPr>
          <w:ilvl w:val="1"/>
          <w:numId w:val="85"/>
        </w:numPr>
      </w:pPr>
      <w:r>
        <w:rPr>
          <w:color w:val="000000"/>
        </w:rPr>
        <w:t>Ce sont des étiologies peu fréquentes mais souvent associées à une galactorrhée</w:t>
      </w:r>
    </w:p>
    <w:p>
      <w:pPr/>
    </w:p>
    <w:p>
      <w:pPr>
        <w:pStyle w:val="Heading4"/>
      </w:pPr>
      <w:r>
        <w:rPr/>
        <w:t>Causes médicamenteuses</w:t>
      </w:r>
    </w:p>
    <w:p>
      <w:pPr>
        <w:numPr>
          <w:ilvl w:val="0"/>
          <w:numId w:val="86"/>
        </w:numPr>
      </w:pPr>
      <w:r>
        <w:rPr>
          <w:color w:val="000000"/>
        </w:rPr>
        <w:t>Contraception oestro-progestative</w:t>
      </w:r>
    </w:p>
    <w:p>
      <w:pPr>
        <w:numPr>
          <w:ilvl w:val="0"/>
          <w:numId w:val="86"/>
        </w:numPr>
      </w:pPr>
      <w:r>
        <w:rPr>
          <w:color w:val="000000"/>
        </w:rPr>
        <w:t>Antidépresseurs et anxiolytiques : alprazolam</w:t>
      </w:r>
      <w:r>
        <w:rPr>
          <w:color w:val="000000"/>
        </w:rPr>
        <w:t xml:space="preserve"> </w:t>
      </w:r>
      <w:r>
        <w:rPr>
          <w:color w:val="000000"/>
        </w:rPr>
        <w:t xml:space="preserve">(Xanax*), </w:t>
      </w:r>
      <w:r>
        <w:rPr>
          <w:color w:val="000000"/>
        </w:rPr>
        <w:t>floxétine</w:t>
      </w:r>
      <w:r>
        <w:rPr>
          <w:color w:val="000000"/>
        </w:rPr>
        <w:t xml:space="preserve"> (Prozac), </w:t>
      </w:r>
      <w:r>
        <w:rPr>
          <w:color w:val="000000"/>
        </w:rPr>
        <w:t>sertraline</w:t>
      </w:r>
      <w:r>
        <w:rPr>
          <w:color w:val="000000"/>
        </w:rPr>
        <w:t xml:space="preserve"> (</w:t>
      </w:r>
      <w:r>
        <w:rPr>
          <w:color w:val="000000"/>
        </w:rPr>
        <w:t>Zoloft</w:t>
      </w:r>
      <w:r>
        <w:rPr>
          <w:color w:val="000000"/>
        </w:rPr>
        <w:t>*)</w:t>
      </w:r>
    </w:p>
    <w:p>
      <w:pPr>
        <w:numPr>
          <w:ilvl w:val="0"/>
          <w:numId w:val="86"/>
        </w:numPr>
      </w:pPr>
      <w:r>
        <w:rPr>
          <w:color w:val="000000"/>
        </w:rPr>
        <w:t xml:space="preserve">Antipsychotiques : rispéridone (Risperdal*), olanzapine (Zyprexa), </w:t>
      </w:r>
      <w:r>
        <w:rPr>
          <w:color w:val="000000"/>
        </w:rPr>
        <w:t>clomipramine</w:t>
      </w:r>
    </w:p>
    <w:p>
      <w:pPr>
        <w:numPr>
          <w:ilvl w:val="0"/>
          <w:numId w:val="86"/>
        </w:numPr>
      </w:pPr>
      <w:r>
        <w:rPr>
          <w:color w:val="000000"/>
        </w:rPr>
        <w:t>IRS : paroxétine (Deroxat), citalopram</w:t>
      </w:r>
      <w:r>
        <w:rPr>
          <w:color w:val="000000"/>
        </w:rPr>
        <w:t xml:space="preserve"> </w:t>
      </w:r>
      <w:r>
        <w:rPr>
          <w:color w:val="000000"/>
        </w:rPr>
        <w:t>(Seropram)</w:t>
      </w:r>
    </w:p>
    <w:p>
      <w:pPr>
        <w:numPr>
          <w:ilvl w:val="0"/>
          <w:numId w:val="86"/>
        </w:numPr>
      </w:pPr>
      <w:r>
        <w:rPr>
          <w:color w:val="000000"/>
        </w:rPr>
        <w:t>Anti-HTA : aténolol (</w:t>
      </w:r>
      <w:r>
        <w:rPr>
          <w:color w:val="000000"/>
        </w:rPr>
        <w:t>Tenormine</w:t>
      </w:r>
      <w:r>
        <w:rPr>
          <w:color w:val="000000"/>
        </w:rPr>
        <w:t xml:space="preserve">), </w:t>
      </w:r>
      <w:r>
        <w:rPr>
          <w:color w:val="000000"/>
        </w:rPr>
        <w:t>méthyldopa</w:t>
      </w:r>
      <w:r>
        <w:rPr>
          <w:color w:val="000000"/>
        </w:rPr>
        <w:t>(</w:t>
      </w:r>
      <w:r>
        <w:rPr>
          <w:color w:val="000000"/>
        </w:rPr>
        <w:t>Aldomet</w:t>
      </w:r>
      <w:r>
        <w:rPr>
          <w:color w:val="000000"/>
        </w:rPr>
        <w:t>), vérapamil (</w:t>
      </w:r>
      <w:r>
        <w:rPr>
          <w:color w:val="000000"/>
        </w:rPr>
        <w:t>Isoptine</w:t>
      </w:r>
      <w:r>
        <w:rPr>
          <w:color w:val="000000"/>
        </w:rPr>
        <w:t>)</w:t>
      </w:r>
    </w:p>
    <w:p>
      <w:pPr>
        <w:numPr>
          <w:ilvl w:val="0"/>
          <w:numId w:val="86"/>
        </w:numPr>
      </w:pPr>
      <w:r>
        <w:rPr>
          <w:color w:val="000000"/>
        </w:rPr>
        <w:t>Agents gastro-intestinaux : cimétidine</w:t>
      </w:r>
    </w:p>
    <w:p>
      <w:pPr>
        <w:numPr>
          <w:ilvl w:val="0"/>
          <w:numId w:val="86"/>
        </w:numPr>
      </w:pPr>
      <w:r>
        <w:rPr>
          <w:color w:val="000000"/>
        </w:rPr>
        <w:t xml:space="preserve">Antiémétique : dompéridone, </w:t>
      </w:r>
      <w:r>
        <w:rPr>
          <w:color w:val="000000"/>
        </w:rPr>
        <w:t>metoclopramide</w:t>
      </w:r>
    </w:p>
    <w:p>
      <w:pPr/>
    </w:p>
    <w:p>
      <w:pPr>
        <w:pStyle w:val="Heading4"/>
      </w:pPr>
      <w:r>
        <w:rPr/>
        <w:t>Insuffisance rénale chronique</w:t>
      </w:r>
    </w:p>
    <w:p>
      <w:pPr>
        <w:numPr>
          <w:ilvl w:val="0"/>
          <w:numId w:val="87"/>
        </w:numPr>
      </w:pPr>
      <w:r>
        <w:rPr>
          <w:color w:val="000000"/>
        </w:rPr>
        <w:t>30% des IRC ont un taux de prolactine élevé</w:t>
      </w:r>
    </w:p>
    <w:p>
      <w:pPr>
        <w:numPr>
          <w:ilvl w:val="0"/>
          <w:numId w:val="87"/>
        </w:numPr>
      </w:pPr>
      <w:r>
        <w:rPr>
          <w:color w:val="000000"/>
        </w:rPr>
        <w:t>Galactorrhée rare mais pas impossible</w:t>
      </w:r>
    </w:p>
    <w:p>
      <w:pPr>
        <w:numPr>
          <w:ilvl w:val="0"/>
          <w:numId w:val="87"/>
        </w:numPr>
      </w:pPr>
      <w:r>
        <w:rPr>
          <w:color w:val="000000"/>
        </w:rPr>
        <w:t>Mécanisme : diminution de la clearance de la prolactine</w:t>
      </w:r>
    </w:p>
    <w:p>
      <w:pPr/>
    </w:p>
    <w:p>
      <w:pPr>
        <w:pStyle w:val="Heading4"/>
      </w:pPr>
      <w:r>
        <w:rPr/>
        <w:t>Cirrhose</w:t>
      </w:r>
    </w:p>
    <w:p>
      <w:pPr>
        <w:numPr>
          <w:ilvl w:val="0"/>
          <w:numId w:val="88"/>
        </w:numPr>
      </w:pPr>
      <w:r>
        <w:rPr>
          <w:color w:val="000000"/>
        </w:rPr>
        <w:t>Diminution de la clearance de la dopamine</w:t>
      </w:r>
    </w:p>
    <w:p>
      <w:pPr/>
    </w:p>
    <w:p>
      <w:pPr>
        <w:pStyle w:val="Heading4"/>
      </w:pPr>
      <w:r>
        <w:rPr/>
        <w:t>Dysthyroïdie</w:t>
      </w:r>
    </w:p>
    <w:p>
      <w:pPr>
        <w:numPr>
          <w:ilvl w:val="0"/>
          <w:numId w:val="89"/>
        </w:numPr>
      </w:pPr>
      <w:r>
        <w:rPr>
          <w:color w:val="000000"/>
        </w:rPr>
        <w:t>Augmentation de la TRH qui stimule la prolactine</w:t>
      </w:r>
    </w:p>
    <w:p>
      <w:pPr>
        <w:pStyle w:val="Heading4"/>
      </w:pPr>
      <w:r>
        <w:rPr/>
        <w:br/>
        <w:t>Idiopathique</w:t>
      </w:r>
    </w:p>
    <w:p>
      <w:pPr/>
    </w:p>
    <w:p>
      <w:pPr>
        <w:pStyle w:val="Heading3"/>
      </w:pPr>
      <w:r>
        <w:rPr/>
        <w:t>GALACTORRHEE SANS HYPERPROLACTINEMIE</w:t>
      </w:r>
    </w:p>
    <w:p>
      <w:pPr>
        <w:numPr>
          <w:ilvl w:val="0"/>
          <w:numId w:val="90"/>
        </w:numPr>
      </w:pPr>
      <w:r>
        <w:rPr>
          <w:color w:val="000000"/>
        </w:rPr>
        <w:t>Acromégalie</w:t>
      </w:r>
    </w:p>
    <w:p>
      <w:pPr>
        <w:numPr>
          <w:ilvl w:val="0"/>
          <w:numId w:val="90"/>
        </w:numPr>
      </w:pPr>
      <w:r>
        <w:rPr>
          <w:color w:val="000000"/>
        </w:rPr>
        <w:t>Hyperprolactinémie intermittente ou non dosable</w:t>
      </w:r>
    </w:p>
    <w:p>
      <w:pPr>
        <w:numPr>
          <w:ilvl w:val="0"/>
          <w:numId w:val="90"/>
        </w:numPr>
      </w:pPr>
      <w:r>
        <w:rPr>
          <w:color w:val="000000"/>
        </w:rPr>
        <w:t>Idiopathique</w:t>
      </w:r>
    </w:p>
    <w:p>
      <w:pPr/>
    </w:p>
    <w:p>
      <w:pPr>
        <w:pStyle w:val="Heading3"/>
      </w:pPr>
      <w:r>
        <w:rPr/>
        <w:t>GALACTORRHEE DU NOUVEAU-NEE</w:t>
      </w:r>
    </w:p>
    <w:p>
      <w:pPr>
        <w:numPr>
          <w:ilvl w:val="0"/>
          <w:numId w:val="91"/>
        </w:numPr>
      </w:pPr>
      <w:r>
        <w:rPr>
          <w:color w:val="000000"/>
        </w:rPr>
        <w:t>5,9% des nouveaux nés présentent une galactorrhée dans les 2 mois suivant la naissance</w:t>
      </w:r>
    </w:p>
    <w:p>
      <w:pPr>
        <w:numPr>
          <w:ilvl w:val="0"/>
          <w:numId w:val="91"/>
        </w:numPr>
      </w:pPr>
      <w:r>
        <w:rPr>
          <w:color w:val="000000"/>
        </w:rPr>
        <w:t>Liée au taux d’</w:t>
      </w:r>
      <w:r>
        <w:rPr>
          <w:color w:val="000000"/>
        </w:rPr>
        <w:t>oestrogène</w:t>
      </w:r>
      <w:r>
        <w:rPr>
          <w:color w:val="000000"/>
        </w:rPr>
        <w:t xml:space="preserve"> circulant </w:t>
      </w:r>
      <w:r>
        <w:rPr>
          <w:i/>
          <w:color w:val="000000"/>
        </w:rPr>
        <w:t>(maternel)</w:t>
      </w:r>
    </w:p>
    <w:p>
      <w:pPr>
        <w:numPr>
          <w:ilvl w:val="0"/>
          <w:numId w:val="91"/>
        </w:numPr>
      </w:pPr>
      <w:r>
        <w:rPr>
          <w:color w:val="000000"/>
        </w:rPr>
        <w:t>Pas de traitement</w:t>
      </w:r>
      <w:r>
        <w:rPr>
          <w:color w:val="000000"/>
        </w:rPr>
        <w:br/>
      </w:r>
    </w:p>
    <w:p>
      <w:pPr>
        <w:pStyle w:val="Heading2"/>
      </w:pPr>
      <w:r>
        <w:rPr/>
        <w:t>TRAITEMENT</w:t>
      </w:r>
    </w:p>
    <w:p>
      <w:pPr>
        <w:numPr>
          <w:ilvl w:val="0"/>
          <w:numId w:val="92"/>
        </w:numPr>
      </w:pPr>
      <w:r>
        <w:rPr>
          <w:color w:val="000000"/>
        </w:rPr>
        <w:t>Gérer les facteurs favorisants : comme la stimulation mammaire, stress</w:t>
      </w:r>
    </w:p>
    <w:p>
      <w:pPr>
        <w:numPr>
          <w:ilvl w:val="0"/>
          <w:numId w:val="92"/>
        </w:numPr>
      </w:pPr>
      <w:r>
        <w:rPr>
          <w:color w:val="000000"/>
        </w:rPr>
        <w:t>Arrêt du traitement si possible, ou changement de médicament, ou administration à faible dose de l’agoniste dopaminergique</w:t>
      </w:r>
      <w:r>
        <w:rPr>
          <w:color w:val="000000"/>
        </w:rPr>
        <w:br/>
      </w:r>
    </w:p>
    <w:p>
      <w:pPr>
        <w:pStyle w:val="Heading3"/>
      </w:pPr>
      <w:r>
        <w:rPr/>
        <w:t>Micro adénome</w:t>
      </w:r>
      <w:r>
        <w:rPr/>
        <w:t xml:space="preserve"> :</w:t>
      </w:r>
    </w:p>
    <w:p>
      <w:pPr>
        <w:numPr>
          <w:ilvl w:val="1"/>
          <w:numId w:val="92"/>
        </w:numPr>
      </w:pPr>
      <w:r>
        <w:rPr>
          <w:color w:val="000000"/>
        </w:rPr>
        <w:t xml:space="preserve">Le traitement repose sur l’agoniste dopaminergique en particulier la </w:t>
      </w:r>
      <w:r>
        <w:rPr>
          <w:b/>
          <w:color w:val="000000"/>
        </w:rPr>
        <w:t>cabergoline</w:t>
      </w:r>
      <w:r>
        <w:rPr>
          <w:color w:val="000000"/>
        </w:rPr>
        <w:t xml:space="preserve"> (normalisation de la prolactine, diminution du volume tumorale, dose à augmenter jusqu’à normalisation de la prolactinémie)</w:t>
      </w:r>
    </w:p>
    <w:p>
      <w:pPr>
        <w:numPr>
          <w:ilvl w:val="1"/>
          <w:numId w:val="92"/>
        </w:numPr>
      </w:pPr>
      <w:r>
        <w:rPr>
          <w:color w:val="000000"/>
        </w:rPr>
        <w:t>Chirurgie si résistance ou intolérance</w:t>
      </w:r>
    </w:p>
    <w:p>
      <w:pPr/>
    </w:p>
    <w:p>
      <w:pPr>
        <w:pStyle w:val="Heading3"/>
      </w:pPr>
      <w:r>
        <w:rPr/>
        <w:t>Macroadénome</w:t>
      </w:r>
    </w:p>
    <w:p>
      <w:pPr>
        <w:numPr>
          <w:ilvl w:val="0"/>
          <w:numId w:val="93"/>
        </w:numPr>
      </w:pPr>
      <w:r>
        <w:rPr>
          <w:color w:val="000000"/>
        </w:rPr>
        <w:t>Traitement médicamenteux par l’agoniste dopaminergique à des doses suffisamment élevée, dose croissante</w:t>
      </w:r>
    </w:p>
    <w:p>
      <w:pPr>
        <w:numPr>
          <w:ilvl w:val="0"/>
          <w:numId w:val="93"/>
        </w:numPr>
      </w:pPr>
      <w:r>
        <w:rPr>
          <w:color w:val="000000"/>
        </w:rPr>
        <w:t>Chirurgie si résistance ou intolérance</w:t>
      </w:r>
    </w:p>
    <w:p>
      <w:pPr>
        <w:numPr>
          <w:ilvl w:val="0"/>
          <w:numId w:val="93"/>
        </w:numPr>
      </w:pPr>
      <w:r>
        <w:rPr>
          <w:color w:val="000000"/>
        </w:rPr>
        <w:t xml:space="preserve">Radiothérapie hypophysaire si évolution tumorale ou </w:t>
      </w:r>
      <w:r>
        <w:rPr>
          <w:color w:val="000000"/>
        </w:rPr>
        <w:t>prolactinome</w:t>
      </w:r>
      <w:r>
        <w:rPr>
          <w:color w:val="000000"/>
        </w:rPr>
        <w:t xml:space="preserve"> malin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94"/>
        </w:numPr>
      </w:pPr>
      <w:r>
        <w:rPr>
          <w:color w:val="000000"/>
        </w:rPr>
        <w:t>Galactorrhée : écoulement lactescent provenant de la glande mammaire, en dehors de la grossesse</w:t>
      </w:r>
    </w:p>
    <w:p>
      <w:pPr>
        <w:numPr>
          <w:ilvl w:val="0"/>
          <w:numId w:val="94"/>
        </w:numPr>
      </w:pPr>
      <w:r>
        <w:rPr>
          <w:color w:val="000000"/>
        </w:rPr>
        <w:t>Fréquente</w:t>
      </w:r>
    </w:p>
    <w:p>
      <w:pPr>
        <w:numPr>
          <w:ilvl w:val="0"/>
          <w:numId w:val="94"/>
        </w:numPr>
      </w:pPr>
      <w:r>
        <w:rPr>
          <w:color w:val="000000"/>
        </w:rPr>
        <w:t>Etiologie : médicamenteuse, maladie grave ou idiopathique</w:t>
      </w:r>
    </w:p>
    <w:p>
      <w:pPr>
        <w:numPr>
          <w:ilvl w:val="0"/>
          <w:numId w:val="94"/>
        </w:numPr>
      </w:pPr>
      <w:r>
        <w:rPr>
          <w:color w:val="000000"/>
        </w:rPr>
        <w:t>Peut-être</w:t>
      </w:r>
      <w:r>
        <w:rPr>
          <w:color w:val="000000"/>
        </w:rPr>
        <w:t xml:space="preserve"> un signe d’une maladie générale</w:t>
      </w:r>
    </w:p>
    <w:p>
      <w:pPr>
        <w:numPr>
          <w:ilvl w:val="0"/>
          <w:numId w:val="94"/>
        </w:numPr>
      </w:pPr>
      <w:r>
        <w:rPr>
          <w:color w:val="000000"/>
        </w:rPr>
        <w:t>Traitement étiologique +++</w:t>
      </w:r>
    </w:p>
    <w:p>
      <w:pPr/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