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GROSSESSE GEMELLAIRE ET MULTIPLE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47"/>
        </w:numPr>
      </w:pPr>
      <w:r>
        <w:rPr/>
        <w:t>Développement simultané de deux (gémellaire +++) ou plusieurs embryons dans la cavité utérine</w:t>
      </w:r>
    </w:p>
    <w:p>
      <w:pPr>
        <w:numPr>
          <w:ilvl w:val="0"/>
          <w:numId w:val="47"/>
        </w:numPr>
      </w:pPr>
      <w:r>
        <w:rPr/>
        <w:t>Peut-être</w:t>
      </w:r>
      <w:r>
        <w:rPr/>
        <w:t xml:space="preserve"> </w:t>
      </w:r>
      <w:r>
        <w:rPr/>
        <w:t>biovulaire</w:t>
      </w:r>
      <w:r>
        <w:rPr/>
        <w:t xml:space="preserve"> (dizygote) ou </w:t>
      </w:r>
      <w:r>
        <w:rPr/>
        <w:t>uniovulaire</w:t>
      </w:r>
      <w:r>
        <w:rPr/>
        <w:t xml:space="preserve"> (monozygote +++)</w:t>
      </w:r>
    </w:p>
    <w:p>
      <w:pPr>
        <w:numPr>
          <w:ilvl w:val="0"/>
          <w:numId w:val="47"/>
        </w:numPr>
      </w:pPr>
      <w:r>
        <w:rPr/>
        <w:t>De plus en plus fréquente en obstétrique, dû à l’âge maternel élevé et aux techniques de Procréation médicale assistée</w:t>
      </w:r>
      <w:r>
        <w:rPr/>
        <w:t xml:space="preserve"> </w:t>
      </w:r>
      <w:r>
        <w:rPr/>
        <w:t>(</w:t>
      </w:r>
      <w:r>
        <w:rPr>
          <w:i/>
        </w:rPr>
        <w:t>deux ovaires produisent en même temps des ovocytes)</w:t>
      </w:r>
    </w:p>
    <w:p>
      <w:pPr>
        <w:numPr>
          <w:ilvl w:val="0"/>
          <w:numId w:val="47"/>
        </w:numPr>
      </w:pPr>
      <w:r>
        <w:rPr/>
        <w:t xml:space="preserve">Grave car morbidité et mortalité </w:t>
      </w:r>
      <w:r>
        <w:rPr/>
        <w:t>fœtales</w:t>
      </w:r>
      <w:r>
        <w:rPr/>
        <w:t xml:space="preserve"> élevées -&gt; doit être considérée comme grossesse à risque élevée (</w:t>
      </w:r>
      <w:r>
        <w:rPr>
          <w:i/>
        </w:rPr>
        <w:t>surdistension utérine, compression de l’aorte -&gt; HTA)</w:t>
      </w:r>
    </w:p>
    <w:p>
      <w:pPr/>
    </w:p>
    <w:p>
      <w:pPr>
        <w:pStyle w:val="Heading2"/>
      </w:pPr>
      <w:r>
        <w:rPr/>
        <w:t>GROSSESSE GEMELLAIRE DIZYGOTE</w:t>
      </w:r>
    </w:p>
    <w:p>
      <w:pPr>
        <w:numPr>
          <w:ilvl w:val="0"/>
          <w:numId w:val="48"/>
        </w:numPr>
      </w:pPr>
      <w:r>
        <w:rPr/>
        <w:t>Deux ovules (issu d’un même cycle) sont fécondés chacun par un spermatozoïde distinct (au cours d’un même coït ou de deux coïts successifs)</w:t>
      </w:r>
    </w:p>
    <w:p>
      <w:pPr>
        <w:numPr>
          <w:ilvl w:val="0"/>
          <w:numId w:val="48"/>
        </w:numPr>
      </w:pPr>
      <w:r>
        <w:rPr/>
        <w:t>Rôle de la FSH :</w:t>
      </w:r>
    </w:p>
    <w:p>
      <w:pPr>
        <w:numPr>
          <w:ilvl w:val="1"/>
          <w:numId w:val="48"/>
        </w:numPr>
      </w:pPr>
      <w:r>
        <w:rPr/>
        <w:t>L’élévation</w:t>
      </w:r>
      <w:r>
        <w:rPr/>
        <w:t xml:space="preserve"> du taux plasmatique de FSH endogène en période folliculaire et ovulatoire ou exogène lors de traitement inducteur d’ovulation -&gt; </w:t>
      </w:r>
      <w:r>
        <w:rPr/>
        <w:t>maturation simultanée</w:t>
      </w:r>
      <w:r>
        <w:rPr/>
        <w:t xml:space="preserve"> de plusieurs follicules (dizygote)</w:t>
      </w:r>
    </w:p>
    <w:p>
      <w:pPr>
        <w:numPr>
          <w:ilvl w:val="0"/>
          <w:numId w:val="48"/>
        </w:numPr>
      </w:pPr>
      <w:r>
        <w:rPr/>
        <w:t>Peuvent être de sexes différents</w:t>
      </w:r>
    </w:p>
    <w:p>
      <w:pPr>
        <w:numPr>
          <w:ilvl w:val="0"/>
          <w:numId w:val="48"/>
        </w:numPr>
      </w:pPr>
      <w:r>
        <w:rPr/>
        <w:t xml:space="preserve">Toujours bi-choriale bi-amniotique : chaque </w:t>
      </w:r>
      <w:r>
        <w:rPr/>
        <w:t>œuf</w:t>
      </w:r>
      <w:r>
        <w:rPr/>
        <w:t xml:space="preserve"> a son propre placenta et son sac membraneux complet</w:t>
      </w:r>
    </w:p>
    <w:p>
      <w:pPr>
        <w:numPr>
          <w:ilvl w:val="0"/>
          <w:numId w:val="48"/>
        </w:numPr>
      </w:pPr>
      <w:r>
        <w:rPr/>
        <w:t>Pas d’anastomose entre les vaisseaux des deux circulations</w:t>
      </w:r>
    </w:p>
    <w:p>
      <w:pPr/>
    </w:p>
    <w:p>
      <w:pPr>
        <w:pStyle w:val="Heading2"/>
      </w:pPr>
      <w:r>
        <w:rPr/>
        <w:t>GROSSESSE GEMELLAIRE MONOZYGOTE</w:t>
      </w:r>
    </w:p>
    <w:p>
      <w:pPr>
        <w:numPr>
          <w:ilvl w:val="0"/>
          <w:numId w:val="49"/>
        </w:numPr>
      </w:pPr>
      <w:r>
        <w:rPr/>
        <w:t>Fécondation d’un ovocyte donnant un embryon, se dédoublant secondairement</w:t>
      </w:r>
    </w:p>
    <w:p>
      <w:pPr>
        <w:numPr>
          <w:ilvl w:val="0"/>
          <w:numId w:val="49"/>
        </w:numPr>
      </w:pPr>
      <w:r>
        <w:rPr/>
        <w:t>Selon le stade de dédoublement :</w:t>
      </w:r>
    </w:p>
    <w:p>
      <w:pPr>
        <w:numPr>
          <w:ilvl w:val="1"/>
          <w:numId w:val="49"/>
        </w:numPr>
      </w:pPr>
      <w:r>
        <w:rPr/>
        <w:t>Avant le 3ème jour : bichoriale biamniotique</w:t>
      </w:r>
    </w:p>
    <w:p>
      <w:pPr>
        <w:numPr>
          <w:ilvl w:val="1"/>
          <w:numId w:val="49"/>
        </w:numPr>
      </w:pPr>
      <w:r>
        <w:rPr/>
        <w:t>Entre le 3ème et le 7ème jour : monochoriale biamniotique+++</w:t>
      </w:r>
    </w:p>
    <w:p>
      <w:pPr>
        <w:numPr>
          <w:ilvl w:val="1"/>
          <w:numId w:val="49"/>
        </w:numPr>
      </w:pPr>
      <w:r>
        <w:rPr/>
        <w:t>Entre J8 et la 2ème semaine : monochoriale monoamniotique</w:t>
      </w:r>
    </w:p>
    <w:p>
      <w:pPr>
        <w:numPr>
          <w:ilvl w:val="1"/>
          <w:numId w:val="49"/>
        </w:numPr>
      </w:pPr>
      <w:r>
        <w:rPr/>
        <w:t>Après la 2ème semaine : siamois</w:t>
      </w:r>
    </w:p>
    <w:p>
      <w:pPr>
        <w:pStyle w:val="Heading3"/>
      </w:pPr>
      <w:r>
        <w:rPr/>
        <w:t>MONOCHORIALE BIAMNIOTIQUE :</w:t>
      </w:r>
    </w:p>
    <w:p>
      <w:pPr>
        <w:numPr>
          <w:ilvl w:val="0"/>
          <w:numId w:val="50"/>
        </w:numPr>
      </w:pPr>
      <w:r>
        <w:rPr/>
        <w:t>Aucun sillon de séparation sur la face maternelle placentaire</w:t>
      </w:r>
    </w:p>
    <w:p>
      <w:pPr>
        <w:numPr>
          <w:ilvl w:val="0"/>
          <w:numId w:val="50"/>
        </w:numPr>
      </w:pPr>
      <w:r>
        <w:rPr/>
        <w:t>La cloison de séparation des deux oeufs est constituée de deux amnios</w:t>
      </w:r>
    </w:p>
    <w:p>
      <w:pPr>
        <w:numPr>
          <w:ilvl w:val="0"/>
          <w:numId w:val="50"/>
        </w:numPr>
      </w:pPr>
      <w:r>
        <w:rPr/>
        <w:t xml:space="preserve">Présence d’anastomoses vasculaires entre les 2 placentas -&gt; </w:t>
      </w:r>
      <w:r>
        <w:rPr>
          <w:b/>
        </w:rPr>
        <w:t>syndrome transfuseur-transfusé</w:t>
      </w:r>
    </w:p>
    <w:p>
      <w:pPr>
        <w:pStyle w:val="Heading3"/>
      </w:pPr>
      <w:r>
        <w:rPr/>
        <w:t>MONOCHORIALE MONO-AMNIOTIQUE :</w:t>
      </w:r>
    </w:p>
    <w:p>
      <w:pPr>
        <w:numPr>
          <w:ilvl w:val="0"/>
          <w:numId w:val="51"/>
        </w:numPr>
      </w:pPr>
      <w:r>
        <w:rPr/>
        <w:t xml:space="preserve">Placenta unique, aucune cloison ne sépare les foetus : </w:t>
      </w:r>
      <w:r>
        <w:rPr>
          <w:i/>
        </w:rPr>
        <w:t>risque d’accrochage des foetus : des membres, des cordons ombilicales</w:t>
      </w:r>
    </w:p>
    <w:p>
      <w:pPr/>
    </w:p>
    <w:p>
      <w:pPr>
        <w:pStyle w:val="Heading3"/>
      </w:pPr>
      <w:r>
        <w:rPr/>
        <w:t>BICHORIALE BI-AMNIOTIQUE :</w:t>
      </w:r>
      <w:r>
        <w:rPr/>
        <w:t xml:space="preserve"> </w:t>
      </w:r>
    </w:p>
    <w:p>
      <w:pPr>
        <w:numPr>
          <w:ilvl w:val="0"/>
          <w:numId w:val="52"/>
        </w:numPr>
      </w:pPr>
      <w:r>
        <w:rPr/>
        <w:t xml:space="preserve">Deux </w:t>
      </w:r>
      <w:r>
        <w:rPr/>
        <w:t>fœtus</w:t>
      </w:r>
      <w:r>
        <w:rPr/>
        <w:t xml:space="preserve"> séparés par une cloison épaisse à 4 feuillets (2 chorions, 2 amnios), 2 circulations foeto-placentaires</w:t>
      </w:r>
    </w:p>
    <w:p>
      <w:pPr/>
    </w:p>
    <w:p>
      <w:pPr>
        <w:pStyle w:val="Heading3"/>
      </w:pPr>
      <w:r>
        <w:rPr/>
        <w:t>MONO-CHORIALE BI-AMNIOTIQUE :</w:t>
      </w:r>
    </w:p>
    <w:p>
      <w:pPr>
        <w:numPr>
          <w:ilvl w:val="0"/>
          <w:numId w:val="53"/>
        </w:numPr>
      </w:pPr>
      <w:r>
        <w:rPr/>
        <w:t xml:space="preserve">2 </w:t>
      </w:r>
      <w:r>
        <w:rPr/>
        <w:t>fœtus</w:t>
      </w:r>
      <w:r>
        <w:rPr/>
        <w:t xml:space="preserve"> séparés par une cloison fine à 2 feuillets (2 amnios), existence d’anastomose entre les 2 circulations foetoplacentaire</w:t>
      </w:r>
    </w:p>
    <w:p>
      <w:pPr/>
    </w:p>
    <w:p>
      <w:pPr>
        <w:pStyle w:val="Heading2"/>
      </w:pPr>
      <w:r>
        <w:rPr/>
        <w:t>FACTEURS DE RISQUE :</w:t>
      </w:r>
    </w:p>
    <w:p>
      <w:pPr>
        <w:pStyle w:val="Heading3"/>
      </w:pPr>
      <w:r>
        <w:rPr/>
        <w:t>GROSSESSE GEMELLAIRE MONOZYGOTE :</w:t>
      </w:r>
    </w:p>
    <w:p>
      <w:pPr>
        <w:numPr>
          <w:ilvl w:val="0"/>
          <w:numId w:val="54"/>
        </w:numPr>
      </w:pPr>
      <w:r>
        <w:rPr/>
        <w:t>Inconnue</w:t>
      </w:r>
    </w:p>
    <w:p>
      <w:pPr>
        <w:numPr>
          <w:ilvl w:val="0"/>
          <w:numId w:val="54"/>
        </w:numPr>
      </w:pPr>
      <w:r>
        <w:rPr/>
        <w:t>Âge maternel : &lt;18 ans et &gt; 35 ans</w:t>
      </w:r>
    </w:p>
    <w:p>
      <w:pPr/>
    </w:p>
    <w:p>
      <w:pPr>
        <w:pStyle w:val="Heading3"/>
      </w:pPr>
      <w:r>
        <w:rPr/>
        <w:t>GROSSESSE MULTIPLE :</w:t>
      </w:r>
    </w:p>
    <w:p>
      <w:pPr>
        <w:numPr>
          <w:ilvl w:val="0"/>
          <w:numId w:val="54"/>
        </w:numPr>
      </w:pPr>
      <w:r>
        <w:rPr/>
        <w:t>Ethnie : noire +++</w:t>
      </w:r>
    </w:p>
    <w:p>
      <w:pPr>
        <w:numPr>
          <w:ilvl w:val="0"/>
          <w:numId w:val="54"/>
        </w:numPr>
      </w:pPr>
      <w:r>
        <w:rPr/>
        <w:t>Age extrême maternel</w:t>
      </w:r>
    </w:p>
    <w:p>
      <w:pPr>
        <w:numPr>
          <w:ilvl w:val="0"/>
          <w:numId w:val="54"/>
        </w:numPr>
      </w:pPr>
      <w:r>
        <w:rPr/>
        <w:t xml:space="preserve">Multiparité </w:t>
      </w:r>
    </w:p>
    <w:p>
      <w:pPr>
        <w:numPr>
          <w:ilvl w:val="0"/>
          <w:numId w:val="54"/>
        </w:numPr>
      </w:pPr>
      <w:r>
        <w:rPr/>
        <w:t>Grossesse induite (Clomnifène)</w:t>
      </w:r>
    </w:p>
    <w:p>
      <w:pPr>
        <w:pStyle w:val="Heading3"/>
      </w:pPr>
      <w:r>
        <w:rPr/>
        <w:t>GROSSESSE GEMELLAIRE DIZYGOTE :</w:t>
      </w:r>
    </w:p>
    <w:p>
      <w:pPr>
        <w:numPr>
          <w:ilvl w:val="0"/>
          <w:numId w:val="55"/>
        </w:numPr>
      </w:pPr>
      <w:r>
        <w:rPr/>
        <w:t>Ethnie : Africain (Nigéria +++) &gt; caucasien &gt; asiatiques</w:t>
      </w:r>
    </w:p>
    <w:p>
      <w:pPr>
        <w:numPr>
          <w:ilvl w:val="0"/>
          <w:numId w:val="55"/>
        </w:numPr>
      </w:pPr>
      <w:r>
        <w:rPr/>
        <w:t>Age maternel élevé</w:t>
      </w:r>
    </w:p>
    <w:p>
      <w:pPr>
        <w:numPr>
          <w:ilvl w:val="0"/>
          <w:numId w:val="55"/>
        </w:numPr>
      </w:pPr>
      <w:r>
        <w:rPr/>
        <w:t>Antécédents familiaux par l’intermédiaire du génotype féminin</w:t>
      </w:r>
    </w:p>
    <w:p>
      <w:pPr>
        <w:numPr>
          <w:ilvl w:val="0"/>
          <w:numId w:val="55"/>
        </w:numPr>
      </w:pPr>
      <w:r>
        <w:rPr/>
        <w:t>Multiparité</w:t>
      </w:r>
    </w:p>
    <w:p>
      <w:pPr>
        <w:numPr>
          <w:ilvl w:val="0"/>
          <w:numId w:val="55"/>
        </w:numPr>
      </w:pPr>
      <w:r>
        <w:rPr/>
        <w:t>Traitement de la stérilité : grossesse médicalement induite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Interrogatoire</w:t>
      </w:r>
    </w:p>
    <w:p>
      <w:pPr>
        <w:numPr>
          <w:ilvl w:val="0"/>
          <w:numId w:val="56"/>
        </w:numPr>
      </w:pPr>
      <w:r>
        <w:rPr/>
        <w:t xml:space="preserve">Augmentation des signes sympathiques de la grossesse : pollakiurie, hypersalivation, mastodynie, trouble du caractère, nausée et vomissement </w:t>
      </w:r>
      <w:r>
        <w:rPr/>
        <w:t>matinaux</w:t>
      </w:r>
      <w:r>
        <w:rPr/>
      </w:r>
      <w:r>
        <w:rPr/>
        <w:t xml:space="preserve"> </w:t>
      </w:r>
    </w:p>
    <w:p>
      <w:pPr/>
    </w:p>
    <w:p>
      <w:pPr>
        <w:pStyle w:val="Heading3"/>
      </w:pPr>
      <w:r>
        <w:rPr/>
        <w:t>Examen clinique</w:t>
      </w:r>
    </w:p>
    <w:p>
      <w:pPr>
        <w:numPr>
          <w:ilvl w:val="0"/>
          <w:numId w:val="57"/>
        </w:numPr>
      </w:pPr>
      <w:r>
        <w:rPr/>
        <w:t>Hauteur utérine augmentée par rapport à lâge présumé de la grossesse</w:t>
      </w:r>
    </w:p>
    <w:p>
      <w:pPr/>
    </w:p>
    <w:p>
      <w:pPr>
        <w:pStyle w:val="Heading3"/>
      </w:pPr>
      <w:r>
        <w:rPr/>
        <w:t>Examens paracliniques</w:t>
      </w:r>
    </w:p>
    <w:p>
      <w:pPr>
        <w:numPr>
          <w:ilvl w:val="0"/>
          <w:numId w:val="58"/>
        </w:numPr>
      </w:pPr>
      <w:r>
        <w:rPr/>
        <w:t>Dosage du b-HCG plasmatique : élévation importante</w:t>
      </w:r>
    </w:p>
    <w:p>
      <w:pPr>
        <w:numPr>
          <w:ilvl w:val="0"/>
          <w:numId w:val="58"/>
        </w:numPr>
      </w:pPr>
      <w:r>
        <w:rPr/>
        <w:t>Echographie pelvienne : diagnostic positif dès la 7ème SA (plusieurs sacs embryonnaires) et type anatomique</w:t>
      </w:r>
    </w:p>
    <w:p>
      <w:pPr>
        <w:numPr>
          <w:ilvl w:val="1"/>
          <w:numId w:val="58"/>
        </w:numPr>
      </w:pPr>
      <w:r>
        <w:rPr>
          <w:b/>
        </w:rPr>
        <w:t>Grossesse bichoriale (2 placentas)</w:t>
      </w:r>
    </w:p>
    <w:p>
      <w:pPr>
        <w:numPr>
          <w:ilvl w:val="2"/>
          <w:numId w:val="58"/>
        </w:numPr>
      </w:pPr>
      <w:r>
        <w:rPr/>
        <w:t>2 sac ovulaire avec vésicule vitelline et embryon chacun</w:t>
      </w:r>
    </w:p>
    <w:p>
      <w:pPr>
        <w:numPr>
          <w:ilvl w:val="2"/>
          <w:numId w:val="58"/>
        </w:numPr>
      </w:pPr>
      <w:r>
        <w:rPr/>
        <w:t>Signe du LAMBDA : raccordement des 4 feuillets, épaississement des membranes ovulaires (pathognomonique et constamment)</w:t>
      </w:r>
    </w:p>
    <w:p>
      <w:pPr>
        <w:numPr>
          <w:ilvl w:val="1"/>
          <w:numId w:val="58"/>
        </w:numPr>
      </w:pPr>
      <w:r>
        <w:rPr>
          <w:b/>
        </w:rPr>
        <w:t xml:space="preserve">Grossesse monochoriale </w:t>
      </w:r>
    </w:p>
    <w:p>
      <w:pPr>
        <w:numPr>
          <w:ilvl w:val="2"/>
          <w:numId w:val="58"/>
        </w:numPr>
      </w:pPr>
      <w:r>
        <w:rPr/>
        <w:t>Une seule cavité choriale, 2 vésicules vitellines et 2 embryons</w:t>
      </w:r>
    </w:p>
    <w:p>
      <w:pPr>
        <w:numPr>
          <w:ilvl w:val="2"/>
          <w:numId w:val="58"/>
        </w:numPr>
      </w:pPr>
      <w:r>
        <w:rPr/>
        <w:t>Absence du signe du LAMBDA</w:t>
      </w:r>
    </w:p>
    <w:p>
      <w:pPr>
        <w:numPr>
          <w:ilvl w:val="3"/>
          <w:numId w:val="58"/>
        </w:numPr>
      </w:pPr>
      <w:r>
        <w:rPr/>
        <w:t>Soit biamniotique : les 2 embryons sont séparés par une cloison</w:t>
      </w:r>
    </w:p>
    <w:p>
      <w:pPr>
        <w:numPr>
          <w:ilvl w:val="3"/>
          <w:numId w:val="58"/>
        </w:numPr>
      </w:pPr>
      <w:r>
        <w:rPr/>
        <w:t>Soit monoamniotique : absence de cloison</w:t>
      </w:r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59"/>
        </w:numPr>
      </w:pPr>
      <w:r>
        <w:rPr>
          <w:b/>
        </w:rPr>
        <w:t>Recherche des facteurs de risque :</w:t>
      </w:r>
    </w:p>
    <w:p>
      <w:pPr>
        <w:numPr>
          <w:ilvl w:val="1"/>
          <w:numId w:val="59"/>
        </w:numPr>
      </w:pPr>
      <w:r>
        <w:rPr/>
        <w:t>Terrain : âge maternel, éthnie</w:t>
      </w:r>
    </w:p>
    <w:p>
      <w:pPr>
        <w:numPr>
          <w:ilvl w:val="1"/>
          <w:numId w:val="59"/>
        </w:numPr>
      </w:pPr>
      <w:r>
        <w:rPr/>
        <w:t>Antécédent familial de grossesse multiple</w:t>
      </w:r>
    </w:p>
    <w:p>
      <w:pPr/>
    </w:p>
    <w:p>
      <w:pPr>
        <w:pStyle w:val="Heading2"/>
      </w:pPr>
      <w:r>
        <w:rPr/>
        <w:t>DIAGNOSTICS DIFFERENTIELS</w:t>
      </w:r>
      <w:r>
        <w:rPr/>
      </w:r>
    </w:p>
    <w:p>
      <w:pPr>
        <w:numPr>
          <w:ilvl w:val="0"/>
          <w:numId w:val="60"/>
        </w:numPr>
      </w:pPr>
      <w:r>
        <w:rPr/>
        <w:t>Hématome périovulaire</w:t>
      </w:r>
    </w:p>
    <w:p>
      <w:pPr>
        <w:numPr>
          <w:ilvl w:val="0"/>
          <w:numId w:val="60"/>
        </w:numPr>
      </w:pPr>
      <w:r>
        <w:rPr/>
        <w:t>Défaut d’accolement</w:t>
      </w:r>
      <w:r>
        <w:rPr/>
      </w:r>
      <w:r>
        <w:rPr/>
        <w:t xml:space="preserve"> temporaire des caduques</w:t>
      </w:r>
    </w:p>
    <w:p>
      <w:pPr>
        <w:numPr>
          <w:ilvl w:val="0"/>
          <w:numId w:val="60"/>
        </w:numPr>
      </w:pPr>
      <w:r>
        <w:rPr/>
        <w:t>Grossesse molaire</w:t>
      </w:r>
    </w:p>
    <w:p>
      <w:pPr>
        <w:numPr>
          <w:ilvl w:val="0"/>
          <w:numId w:val="60"/>
        </w:numPr>
      </w:pPr>
      <w:r>
        <w:rPr/>
        <w:t>Hydramnios sur grossesse unique</w:t>
      </w:r>
    </w:p>
    <w:p>
      <w:pPr>
        <w:numPr>
          <w:ilvl w:val="0"/>
          <w:numId w:val="60"/>
        </w:numPr>
      </w:pPr>
      <w:r>
        <w:rPr/>
        <w:t>Fibrome et grossesse unique</w:t>
      </w:r>
    </w:p>
    <w:p>
      <w:pPr>
        <w:numPr>
          <w:ilvl w:val="0"/>
          <w:numId w:val="60"/>
        </w:numPr>
      </w:pPr>
      <w:r>
        <w:rPr/>
        <w:t xml:space="preserve">Macrosomie </w:t>
      </w:r>
    </w:p>
    <w:p>
      <w:pPr/>
    </w:p>
    <w:p>
      <w:pPr>
        <w:pStyle w:val="Heading2"/>
      </w:pPr>
      <w:r>
        <w:rPr/>
        <w:t>EVOLUTION ET COMPLICATIONS</w:t>
      </w:r>
    </w:p>
    <w:p>
      <w:pPr>
        <w:numPr>
          <w:ilvl w:val="0"/>
          <w:numId w:val="61"/>
        </w:numPr>
      </w:pPr>
      <w:r>
        <w:rPr/>
        <w:t xml:space="preserve">Prématurité (50%) : </w:t>
      </w:r>
      <w:r>
        <w:rPr>
          <w:i/>
        </w:rPr>
        <w:t xml:space="preserve">distension plus ouverture du </w:t>
      </w:r>
      <w:r>
        <w:rPr>
          <w:i/>
        </w:rPr>
        <w:t>col</w:t>
      </w:r>
      <w:r>
        <w:rPr/>
      </w:r>
    </w:p>
    <w:p>
      <w:pPr>
        <w:numPr>
          <w:ilvl w:val="0"/>
          <w:numId w:val="61"/>
        </w:numPr>
      </w:pPr>
      <w:r>
        <w:rPr/>
        <w:t>RCIU : syndrome transfuseur-transfusé, spécifique des grossesses monozygotes, surtout mono-choriale bi-amniotique</w:t>
      </w:r>
    </w:p>
    <w:p>
      <w:pPr>
        <w:numPr>
          <w:ilvl w:val="0"/>
          <w:numId w:val="61"/>
        </w:numPr>
      </w:pPr>
      <w:r>
        <w:rPr/>
        <w:t>HTA gravidique simple (</w:t>
      </w:r>
      <w:r>
        <w:rPr>
          <w:i/>
        </w:rPr>
        <w:t>compression Ao abdominale)</w:t>
      </w:r>
      <w:r>
        <w:rPr/>
        <w:t xml:space="preserve">, </w:t>
      </w:r>
      <w:r>
        <w:rPr/>
        <w:t>prééclampsie</w:t>
      </w:r>
      <w:r>
        <w:rPr/>
        <w:t>, éclampsie</w:t>
      </w:r>
    </w:p>
    <w:p>
      <w:pPr>
        <w:numPr>
          <w:ilvl w:val="0"/>
          <w:numId w:val="61"/>
        </w:numPr>
      </w:pPr>
      <w:r>
        <w:rPr/>
        <w:t>Mortalité périnatale</w:t>
      </w:r>
    </w:p>
    <w:p>
      <w:pPr>
        <w:numPr>
          <w:ilvl w:val="0"/>
          <w:numId w:val="61"/>
        </w:numPr>
      </w:pPr>
      <w:r>
        <w:rPr/>
        <w:t xml:space="preserve">MFIU du </w:t>
      </w:r>
      <w:r>
        <w:rPr/>
        <w:t>fœtus</w:t>
      </w:r>
      <w:r>
        <w:rPr/>
        <w:t xml:space="preserve"> transfuseur avec risque de mort in utéro du jumeau survivant et des lésions neurologiques sévères</w:t>
      </w:r>
    </w:p>
    <w:p>
      <w:pPr>
        <w:numPr>
          <w:ilvl w:val="0"/>
          <w:numId w:val="61"/>
        </w:numPr>
      </w:pPr>
      <w:r>
        <w:rPr/>
        <w:t>Malformations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