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LA MENOPAUSE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45"/>
        </w:numPr>
      </w:pPr>
      <w:r>
        <w:rPr>
          <w:color w:val="000000"/>
        </w:rPr>
        <w:t>Diagnostiquer et traiter les troubles liés à la péri-ménopause</w:t>
      </w:r>
    </w:p>
    <w:p>
      <w:pPr>
        <w:numPr>
          <w:ilvl w:val="0"/>
          <w:numId w:val="45"/>
        </w:numPr>
      </w:pPr>
      <w:r>
        <w:rPr>
          <w:color w:val="000000"/>
        </w:rPr>
        <w:t>Diagnostiquer la ménopause</w:t>
      </w:r>
    </w:p>
    <w:p>
      <w:pPr>
        <w:numPr>
          <w:ilvl w:val="0"/>
          <w:numId w:val="45"/>
        </w:numPr>
      </w:pPr>
      <w:r>
        <w:rPr>
          <w:color w:val="000000"/>
        </w:rPr>
        <w:t>Connaître les conséquences pathologiques liées à la ménopause (complication)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0"/>
          <w:numId w:val="46"/>
        </w:numPr>
      </w:pPr>
      <w:r>
        <w:rPr>
          <w:color w:val="000000"/>
        </w:rPr>
        <w:t>La ménopause correspond à la disparition définitive du cycle menstruel secondaire à l’arrêt de l’activité ovarienne par épuisement du capital folliculaire ovarien / réserve ovarienne / stock folliculaire</w:t>
      </w:r>
      <w:r>
        <w:rPr>
          <w:color w:val="000000"/>
        </w:rPr>
        <w:br/>
      </w:r>
    </w:p>
    <w:p>
      <w:pPr>
        <w:numPr>
          <w:ilvl w:val="0"/>
          <w:numId w:val="46"/>
        </w:numPr>
      </w:pPr>
      <w:r>
        <w:rPr>
          <w:color w:val="000000"/>
        </w:rPr>
        <w:t>Survient en moyenne à 50 ans (45 - 55), confirmée après un an (12 mois) d’aménorrhée</w:t>
      </w:r>
    </w:p>
    <w:p>
      <w:pPr>
        <w:numPr>
          <w:ilvl w:val="0"/>
          <w:numId w:val="46"/>
        </w:numPr>
      </w:pPr>
      <w:r>
        <w:rPr>
          <w:color w:val="000000"/>
        </w:rPr>
        <w:t>Carence oestrogénique définitive responsable de différentes manifestations cliniques</w:t>
      </w:r>
    </w:p>
    <w:p>
      <w:pPr/>
    </w:p>
    <w:p>
      <w:pPr>
        <w:pStyle w:val="Heading2"/>
      </w:pPr>
      <w:r>
        <w:rPr/>
        <w:t>LA PERI-MENOPAUSE</w:t>
      </w:r>
      <w:r>
        <w:rPr/>
      </w:r>
    </w:p>
    <w:p>
      <w:pPr>
        <w:numPr>
          <w:ilvl w:val="0"/>
          <w:numId w:val="47"/>
        </w:numPr>
      </w:pPr>
      <w:r>
        <w:rPr>
          <w:color w:val="000000"/>
        </w:rPr>
        <w:t>Définition : période de perturbation du cycle précédant la ménopause</w:t>
      </w:r>
    </w:p>
    <w:p>
      <w:pPr>
        <w:numPr>
          <w:ilvl w:val="0"/>
          <w:numId w:val="47"/>
        </w:numPr>
      </w:pPr>
      <w:r>
        <w:rPr>
          <w:color w:val="000000"/>
        </w:rPr>
        <w:t>Durée : environ une dizaine d’années avant la ménopause confirmée</w:t>
      </w:r>
    </w:p>
    <w:p>
      <w:pPr/>
    </w:p>
    <w:p>
      <w:pPr>
        <w:pStyle w:val="Heading3"/>
      </w:pPr>
      <w:r>
        <w:rPr/>
        <w:t>Physiologie :</w:t>
      </w:r>
    </w:p>
    <w:p>
      <w:pPr>
        <w:numPr>
          <w:ilvl w:val="0"/>
          <w:numId w:val="48"/>
        </w:numPr>
      </w:pPr>
      <w:r>
        <w:rPr>
          <w:color w:val="000000"/>
        </w:rPr>
        <w:t>Cette période correspond à un épuisement progressif du capital folliculaire ovarien</w:t>
      </w:r>
    </w:p>
    <w:p>
      <w:pPr>
        <w:numPr>
          <w:ilvl w:val="0"/>
          <w:numId w:val="48"/>
        </w:numPr>
      </w:pPr>
      <w:r>
        <w:rPr>
          <w:color w:val="000000"/>
        </w:rPr>
        <w:t>Baisse de la sensibilité ovarienne aux FSH-LH, et par réaction, augmentation des gonadostimulines (FSH principalement)</w:t>
      </w:r>
    </w:p>
    <w:p>
      <w:pPr>
        <w:numPr>
          <w:ilvl w:val="0"/>
          <w:numId w:val="48"/>
        </w:numPr>
      </w:pPr>
      <w:r>
        <w:rPr>
          <w:color w:val="000000"/>
        </w:rPr>
        <w:t xml:space="preserve">Diminution de la sécrétion de progestérone par altération de la qualité du corps jaune -&gt; insuffisance lutéale -&gt; </w:t>
      </w:r>
      <w:r>
        <w:rPr>
          <w:color w:val="000000"/>
        </w:rPr>
        <w:t>hyperoestrogénie</w:t>
      </w:r>
      <w:r>
        <w:rPr>
          <w:color w:val="000000"/>
        </w:rPr>
        <w:t xml:space="preserve"> relative</w:t>
      </w:r>
    </w:p>
    <w:p>
      <w:pPr>
        <w:numPr>
          <w:ilvl w:val="0"/>
          <w:numId w:val="48"/>
        </w:numPr>
      </w:pPr>
      <w:r>
        <w:rPr>
          <w:color w:val="000000"/>
        </w:rPr>
        <w:t xml:space="preserve">Diminution progressive de la </w:t>
      </w:r>
      <w:r>
        <w:rPr>
          <w:color w:val="000000"/>
        </w:rPr>
        <w:t>sécrétion</w:t>
      </w:r>
      <w:r>
        <w:rPr>
          <w:color w:val="000000"/>
        </w:rPr>
        <w:t xml:space="preserve"> de l’</w:t>
      </w:r>
      <w:r>
        <w:rPr>
          <w:color w:val="000000"/>
        </w:rPr>
        <w:t>œstradiol</w:t>
      </w:r>
      <w:r>
        <w:rPr>
          <w:color w:val="000000"/>
        </w:rPr>
        <w:t xml:space="preserve"> (E2) responsable de troubles de l’ovulation (cycles </w:t>
      </w:r>
      <w:r>
        <w:rPr>
          <w:color w:val="000000"/>
        </w:rPr>
        <w:t>dys</w:t>
      </w:r>
      <w:r>
        <w:rPr/>
      </w:r>
      <w:r>
        <w:rPr>
          <w:color w:val="000000"/>
        </w:rPr>
        <w:t>ovulatoires</w:t>
      </w:r>
      <w:r>
        <w:rPr>
          <w:color w:val="000000"/>
        </w:rPr>
        <w:t xml:space="preserve"> ou </w:t>
      </w:r>
      <w:r>
        <w:rPr>
          <w:color w:val="000000"/>
        </w:rPr>
        <w:t>ano</w:t>
      </w:r>
      <w:r>
        <w:rPr/>
      </w:r>
      <w:r>
        <w:rPr>
          <w:color w:val="000000"/>
        </w:rPr>
        <w:t>vulatoires)</w:t>
      </w:r>
      <w:r>
        <w:rPr/>
      </w:r>
      <w:r>
        <w:rPr/>
      </w:r>
    </w:p>
    <w:p>
      <w:pPr/>
    </w:p>
    <w:p>
      <w:pPr>
        <w:pStyle w:val="Heading3"/>
      </w:pPr>
      <w:r>
        <w:rPr/>
        <w:t>Manifestations cliniques : liées à l’état d’</w:t>
      </w:r>
      <w:r>
        <w:rPr/>
        <w:t>hyperoestrogénie</w:t>
      </w:r>
      <w:r>
        <w:rPr/>
        <w:t xml:space="preserve"> relative</w:t>
      </w:r>
    </w:p>
    <w:p>
      <w:pPr>
        <w:numPr>
          <w:ilvl w:val="0"/>
          <w:numId w:val="49"/>
        </w:numPr>
      </w:pPr>
      <w:r>
        <w:rPr>
          <w:color w:val="000000"/>
        </w:rPr>
        <w:t xml:space="preserve">Troubles du cycle </w:t>
      </w:r>
      <w:r>
        <w:rPr>
          <w:color w:val="000000"/>
        </w:rPr>
        <w:t>menstruel</w:t>
      </w:r>
      <w:r>
        <w:rPr>
          <w:color w:val="000000"/>
        </w:rPr>
        <w:t xml:space="preserve"> : irréguliers, durée anormale (</w:t>
      </w:r>
      <w:r>
        <w:rPr>
          <w:color w:val="000000"/>
        </w:rPr>
        <w:t>spanioménorrhée</w:t>
      </w:r>
      <w:r>
        <w:rPr/>
      </w:r>
      <w:r>
        <w:rPr>
          <w:color w:val="000000"/>
        </w:rPr>
        <w:t xml:space="preserve">, </w:t>
      </w:r>
      <w:r>
        <w:rPr>
          <w:color w:val="000000"/>
        </w:rPr>
        <w:t>pollakiménorrhée</w:t>
      </w:r>
      <w:r>
        <w:rPr/>
      </w:r>
      <w:r>
        <w:rPr>
          <w:color w:val="000000"/>
        </w:rPr>
        <w:t>)</w:t>
      </w:r>
    </w:p>
    <w:p>
      <w:pPr>
        <w:numPr>
          <w:ilvl w:val="0"/>
          <w:numId w:val="49"/>
        </w:numPr>
      </w:pPr>
      <w:r>
        <w:rPr>
          <w:color w:val="000000"/>
        </w:rPr>
        <w:t>Métrorragie (</w:t>
      </w:r>
      <w:r>
        <w:rPr>
          <w:i/>
          <w:color w:val="000000"/>
        </w:rPr>
        <w:t>saignement d’origine utérine en dehors des menstruations)</w:t>
      </w:r>
      <w:r>
        <w:rPr>
          <w:color w:val="000000"/>
        </w:rPr>
        <w:t xml:space="preserve"> et/ou ménorragie (</w:t>
      </w:r>
      <w:r>
        <w:rPr>
          <w:i/>
          <w:color w:val="000000"/>
        </w:rPr>
        <w:t xml:space="preserve">règles abondantes) </w:t>
      </w:r>
      <w:r>
        <w:rPr>
          <w:color w:val="000000"/>
        </w:rPr>
        <w:t>(par hyperplasie endométriale, conséquence de l’</w:t>
      </w:r>
      <w:r>
        <w:rPr>
          <w:color w:val="000000"/>
        </w:rPr>
        <w:t>hyperoestrogénie</w:t>
      </w:r>
      <w:r>
        <w:rPr>
          <w:color w:val="000000"/>
        </w:rPr>
        <w:t xml:space="preserve"> relative)</w:t>
      </w:r>
    </w:p>
    <w:p>
      <w:pPr>
        <w:numPr>
          <w:ilvl w:val="0"/>
          <w:numId w:val="49"/>
        </w:numPr>
      </w:pPr>
      <w:r>
        <w:rPr>
          <w:color w:val="000000"/>
        </w:rPr>
        <w:t xml:space="preserve">Syndrome prémenstruel : prise de poids, mastodynies, gonflement de </w:t>
      </w:r>
      <w:r>
        <w:rPr>
          <w:color w:val="000000"/>
        </w:rPr>
        <w:t>l’abdomen (</w:t>
      </w:r>
      <w:r>
        <w:rPr>
          <w:i/>
          <w:color w:val="000000"/>
        </w:rPr>
        <w:t>ou sensation de pesanteur)</w:t>
      </w:r>
      <w:r>
        <w:rPr>
          <w:color w:val="000000"/>
        </w:rPr>
        <w:t>, troubles psychiques (anxiété, irritabilité, ...)</w:t>
      </w:r>
    </w:p>
    <w:p>
      <w:pPr/>
    </w:p>
    <w:p>
      <w:pPr>
        <w:pStyle w:val="Heading3"/>
      </w:pPr>
      <w:r>
        <w:rPr/>
        <w:t>Prise en charge</w:t>
      </w:r>
    </w:p>
    <w:p>
      <w:pPr>
        <w:pStyle w:val="Heading4"/>
      </w:pPr>
      <w:r>
        <w:rPr/>
        <w:t>Traiter l’</w:t>
      </w:r>
      <w:r>
        <w:rPr/>
        <w:t>hyperoestrogénie</w:t>
      </w:r>
      <w:r>
        <w:rPr/>
        <w:t xml:space="preserve"> relative (-&gt; ménorragie - métrorragie) :</w:t>
      </w:r>
    </w:p>
    <w:p>
      <w:pPr>
        <w:numPr>
          <w:ilvl w:val="0"/>
          <w:numId w:val="50"/>
        </w:numPr>
      </w:pPr>
      <w:r>
        <w:rPr>
          <w:color w:val="000000"/>
        </w:rPr>
        <w:t>Progestatifs (nomégestrol, LUTENYL*), 10j/mois : du 15è au 25è jour du cycle (activité anti-oestrogénique -&gt; action atrophiante sur l’endomètre)</w:t>
      </w:r>
      <w:r>
        <w:rPr/>
      </w:r>
    </w:p>
    <w:p>
      <w:pPr>
        <w:numPr>
          <w:ilvl w:val="0"/>
          <w:numId w:val="50"/>
        </w:numPr>
      </w:pPr>
      <w:r>
        <w:rPr>
          <w:color w:val="000000"/>
        </w:rPr>
        <w:t xml:space="preserve">Alternative, DIU au </w:t>
      </w:r>
      <w:r>
        <w:rPr>
          <w:color w:val="000000"/>
        </w:rPr>
        <w:t>Lévonorgestrel</w:t>
      </w:r>
      <w:r>
        <w:rPr/>
      </w:r>
      <w:r>
        <w:rPr>
          <w:color w:val="000000"/>
        </w:rPr>
        <w:t>, MIRENA* : traitement des ménorragies fonctionnelles de la péri-ménopause</w:t>
      </w:r>
    </w:p>
    <w:p>
      <w:pPr/>
    </w:p>
    <w:p>
      <w:pPr>
        <w:pStyle w:val="Heading2"/>
      </w:pPr>
      <w:r>
        <w:rPr/>
        <w:t>MENOPAUSE</w:t>
      </w:r>
    </w:p>
    <w:p>
      <w:pPr>
        <w:pStyle w:val="Heading3"/>
      </w:pPr>
      <w:r>
        <w:rPr/>
        <w:t>PHYSIOLOGIE</w:t>
      </w:r>
    </w:p>
    <w:p>
      <w:pPr>
        <w:numPr>
          <w:ilvl w:val="0"/>
          <w:numId w:val="51"/>
        </w:numPr>
      </w:pPr>
      <w:r>
        <w:rPr>
          <w:color w:val="000000"/>
        </w:rPr>
        <w:t>Arrêt définitif du fonctionnement ovarien par épuisement de réserve folliculaire ovarienne (aménorrhée, anovulation)</w:t>
      </w:r>
    </w:p>
    <w:p>
      <w:pPr>
        <w:numPr>
          <w:ilvl w:val="0"/>
          <w:numId w:val="51"/>
        </w:numPr>
      </w:pPr>
      <w:r>
        <w:rPr>
          <w:color w:val="000000"/>
        </w:rPr>
        <w:t>Effondrement de la sécrétion d’Estradiol (E2) -&gt; Carence oestrogénique, persistance de synthèse des androgènes (corticosurrénale +++, ovaires)</w:t>
      </w:r>
    </w:p>
    <w:p>
      <w:pPr>
        <w:numPr>
          <w:ilvl w:val="0"/>
          <w:numId w:val="51"/>
        </w:numPr>
      </w:pPr>
      <w:r>
        <w:rPr>
          <w:color w:val="000000"/>
        </w:rPr>
        <w:t>Sécrétion</w:t>
      </w:r>
      <w:r>
        <w:rPr>
          <w:color w:val="000000"/>
        </w:rPr>
        <w:t xml:space="preserve"> d’</w:t>
      </w:r>
      <w:r>
        <w:rPr>
          <w:color w:val="000000"/>
        </w:rPr>
        <w:t>œstrone</w:t>
      </w:r>
      <w:r>
        <w:rPr>
          <w:color w:val="000000"/>
        </w:rPr>
        <w:t xml:space="preserve"> (E1) par aromatisation périphérique des androgènes au niveau des tissus graisseux</w:t>
      </w:r>
    </w:p>
    <w:p>
      <w:pPr/>
    </w:p>
    <w:p>
      <w:pPr>
        <w:pStyle w:val="Heading3"/>
      </w:pPr>
      <w:r>
        <w:rPr/>
        <w:t>DIAGNOSTIC</w:t>
      </w:r>
    </w:p>
    <w:p>
      <w:pPr>
        <w:pStyle w:val="Heading4"/>
      </w:pPr>
      <w:r>
        <w:rPr/>
        <w:t>CLINIQUE</w:t>
      </w:r>
    </w:p>
    <w:p>
      <w:pPr>
        <w:numPr>
          <w:ilvl w:val="0"/>
          <w:numId w:val="52"/>
        </w:numPr>
      </w:pPr>
      <w:r>
        <w:rPr>
          <w:color w:val="000000"/>
        </w:rPr>
        <w:t>Diagnostic avant tout clinique</w:t>
      </w:r>
    </w:p>
    <w:p>
      <w:pPr>
        <w:numPr>
          <w:ilvl w:val="1"/>
          <w:numId w:val="52"/>
        </w:numPr>
      </w:pPr>
      <w:r>
        <w:rPr>
          <w:color w:val="000000"/>
        </w:rPr>
        <w:t>Age vers 50 ans, aménorrhée secondaire depuis 12 mois, test aux progestatifs négatif</w:t>
      </w:r>
    </w:p>
    <w:p>
      <w:pPr>
        <w:numPr>
          <w:ilvl w:val="1"/>
          <w:numId w:val="52"/>
        </w:numPr>
      </w:pPr>
      <w:r>
        <w:rPr>
          <w:color w:val="000000"/>
        </w:rPr>
        <w:t>Syndrome climatérique : bouffées de chaleur, crise de sueurs nocturnes, sécheresse vaginale</w:t>
      </w:r>
    </w:p>
    <w:p>
      <w:pPr>
        <w:numPr>
          <w:ilvl w:val="1"/>
          <w:numId w:val="52"/>
        </w:numPr>
      </w:pPr>
      <w:r>
        <w:rPr>
          <w:color w:val="000000"/>
        </w:rPr>
        <w:t>Autres signes :</w:t>
      </w:r>
    </w:p>
    <w:p>
      <w:pPr>
        <w:numPr>
          <w:ilvl w:val="2"/>
          <w:numId w:val="52"/>
        </w:numPr>
      </w:pPr>
      <w:r>
        <w:rPr>
          <w:color w:val="000000"/>
        </w:rPr>
        <w:t>Troubles du sommeil, céphalées, arthralgies</w:t>
      </w:r>
    </w:p>
    <w:p>
      <w:pPr>
        <w:numPr>
          <w:ilvl w:val="2"/>
          <w:numId w:val="52"/>
        </w:numPr>
      </w:pPr>
      <w:r>
        <w:rPr>
          <w:color w:val="000000"/>
        </w:rPr>
        <w:t>Troubles de l’humeur et du caractère, trouble de la libido</w:t>
      </w:r>
    </w:p>
    <w:p>
      <w:pPr>
        <w:numPr>
          <w:ilvl w:val="0"/>
          <w:numId w:val="52"/>
        </w:numPr>
      </w:pPr>
      <w:r>
        <w:rPr>
          <w:i/>
          <w:color w:val="000000"/>
        </w:rPr>
        <w:t xml:space="preserve">(Aménorrhée secondaire : </w:t>
      </w:r>
      <w:r>
        <w:rPr>
          <w:b/>
          <w:i/>
          <w:color w:val="000000"/>
        </w:rPr>
        <w:t xml:space="preserve">définitive, </w:t>
      </w:r>
      <w:r>
        <w:rPr>
          <w:i/>
          <w:color w:val="000000"/>
        </w:rPr>
        <w:t>ne répond pas au test aux progestatifs</w:t>
      </w:r>
    </w:p>
    <w:p>
      <w:pPr>
        <w:numPr>
          <w:ilvl w:val="0"/>
          <w:numId w:val="52"/>
        </w:numPr>
      </w:pPr>
      <w:r>
        <w:rPr>
          <w:i/>
          <w:color w:val="000000"/>
        </w:rPr>
        <w:t>Syndrome climatérique : traduction initiale de la carence oestrogénique, inconstant, d’intensité variable :</w:t>
      </w:r>
    </w:p>
    <w:p>
      <w:pPr>
        <w:numPr>
          <w:ilvl w:val="1"/>
          <w:numId w:val="52"/>
        </w:numPr>
      </w:pPr>
      <w:r>
        <w:rPr>
          <w:i/>
          <w:color w:val="000000"/>
        </w:rPr>
        <w:t xml:space="preserve">Bouffées de chaleur : </w:t>
      </w:r>
    </w:p>
    <w:p>
      <w:pPr>
        <w:numPr>
          <w:ilvl w:val="2"/>
          <w:numId w:val="52"/>
        </w:numPr>
      </w:pPr>
      <w:r>
        <w:rPr>
          <w:i/>
          <w:color w:val="000000"/>
        </w:rPr>
        <w:t xml:space="preserve">Sensation de chaleur intense, brutale et transitoire, </w:t>
      </w:r>
    </w:p>
    <w:p>
      <w:pPr>
        <w:numPr>
          <w:ilvl w:val="2"/>
          <w:numId w:val="52"/>
        </w:numPr>
      </w:pPr>
      <w:r>
        <w:rPr>
          <w:i/>
          <w:color w:val="000000"/>
        </w:rPr>
        <w:t>Accompagnée de rougeur de la face et du tronc, sueurs profuses, nocturnes +++, participant à l’insomnie</w:t>
      </w:r>
    </w:p>
    <w:p>
      <w:pPr>
        <w:numPr>
          <w:ilvl w:val="1"/>
          <w:numId w:val="52"/>
        </w:numPr>
      </w:pPr>
      <w:r>
        <w:rPr>
          <w:i/>
          <w:color w:val="000000"/>
        </w:rPr>
        <w:t xml:space="preserve">Troubles neuropsychiques : </w:t>
      </w:r>
      <w:r>
        <w:rPr/>
      </w:r>
    </w:p>
    <w:p>
      <w:pPr>
        <w:numPr>
          <w:ilvl w:val="2"/>
          <w:numId w:val="52"/>
        </w:numPr>
      </w:pPr>
      <w:r>
        <w:rPr>
          <w:i/>
          <w:color w:val="000000"/>
        </w:rPr>
        <w:t>Troubles de l’humeur</w:t>
      </w:r>
    </w:p>
    <w:p>
      <w:pPr>
        <w:numPr>
          <w:ilvl w:val="2"/>
          <w:numId w:val="52"/>
        </w:numPr>
      </w:pPr>
      <w:r>
        <w:rPr>
          <w:i/>
          <w:color w:val="000000"/>
        </w:rPr>
        <w:t>Irritabilité, dépression, anxiété, asthénie, insomnie, ...)</w:t>
      </w:r>
    </w:p>
    <w:p>
      <w:pPr>
        <w:pStyle w:val="Heading4"/>
      </w:pPr>
      <w:r>
        <w:rPr/>
        <w:t>PARACLINIQUE</w:t>
      </w:r>
    </w:p>
    <w:p>
      <w:pPr>
        <w:numPr>
          <w:ilvl w:val="0"/>
          <w:numId w:val="53"/>
        </w:numPr>
      </w:pPr>
      <w:r>
        <w:rPr>
          <w:color w:val="000000"/>
        </w:rPr>
        <w:t>Diagnostic confirmé par :</w:t>
      </w:r>
    </w:p>
    <w:p>
      <w:pPr>
        <w:numPr>
          <w:ilvl w:val="1"/>
          <w:numId w:val="53"/>
        </w:numPr>
      </w:pPr>
      <w:r>
        <w:rPr>
          <w:color w:val="000000"/>
        </w:rPr>
        <w:t>Oestradiolémie</w:t>
      </w:r>
      <w:r>
        <w:rPr>
          <w:color w:val="000000"/>
        </w:rPr>
        <w:t xml:space="preserve"> </w:t>
      </w:r>
      <w:r>
        <w:rPr>
          <w:rFonts w:ascii="Symbol" w:hAnsi="Symbol"/>
          <w:b/>
          <w:color w:val="000000"/>
        </w:rPr>
      </w:r>
      <w:r>
        <w:rPr>
          <w:b/>
          <w:color w:val="000000"/>
        </w:rPr>
        <w:t xml:space="preserve"> </w:t>
      </w:r>
      <w:r>
        <w:rPr>
          <w:b/>
          <w:color w:val="000000"/>
        </w:rPr>
        <w:t>50</w:t>
      </w:r>
      <w:r>
        <w:rPr/>
      </w:r>
      <w:r>
        <w:rPr>
          <w:b/>
          <w:color w:val="000000"/>
        </w:rPr>
        <w:t>pg/ml</w:t>
      </w:r>
    </w:p>
    <w:p>
      <w:pPr>
        <w:numPr>
          <w:ilvl w:val="1"/>
          <w:numId w:val="53"/>
        </w:numPr>
      </w:pPr>
      <w:r>
        <w:rPr>
          <w:b/>
          <w:color w:val="000000"/>
        </w:rPr>
        <w:t>FSH plasmatique &gt; 20 UI/L</w:t>
      </w:r>
    </w:p>
    <w:p>
      <w:pPr>
        <w:numPr>
          <w:ilvl w:val="0"/>
          <w:numId w:val="53"/>
        </w:numPr>
      </w:pPr>
      <w:r>
        <w:rPr>
          <w:color w:val="000000"/>
        </w:rPr>
        <w:t xml:space="preserve">Autres dosages hormonaux : </w:t>
      </w:r>
      <w:r>
        <w:rPr>
          <w:color w:val="000000"/>
        </w:rPr>
        <w:t>progestéronémie</w:t>
      </w:r>
      <w:r>
        <w:rPr>
          <w:color w:val="000000"/>
        </w:rPr>
        <w:t xml:space="preserve"> </w:t>
      </w:r>
      <w:r>
        <w:rPr>
          <w:color w:val="000000"/>
        </w:rPr>
        <w:t>indosable</w:t>
      </w:r>
      <w:r>
        <w:rPr>
          <w:color w:val="000000"/>
        </w:rPr>
        <w:t>, hyperandrogénie</w:t>
      </w:r>
      <w:r>
        <w:rPr>
          <w:color w:val="000000"/>
        </w:rPr>
        <w:br/>
      </w:r>
    </w:p>
    <w:p>
      <w:pPr>
        <w:numPr>
          <w:ilvl w:val="0"/>
          <w:numId w:val="53"/>
        </w:numPr>
      </w:pPr>
      <w:r>
        <w:rPr>
          <w:i/>
          <w:color w:val="000000"/>
        </w:rPr>
        <w:t xml:space="preserve">(Le diagnostic est avant tout clinique. Les dosages hormonaux </w:t>
      </w:r>
      <w:r>
        <w:rPr>
          <w:b/>
          <w:i/>
          <w:color w:val="000000"/>
        </w:rPr>
        <w:t>doivent être d’indication exceptionnelle.</w:t>
      </w:r>
      <w:r>
        <w:rPr>
          <w:i/>
          <w:color w:val="000000"/>
        </w:rPr>
        <w:t xml:space="preserve"> On ne demandera en pratique que la FSH plasmatique et l’</w:t>
      </w:r>
      <w:r>
        <w:rPr>
          <w:i/>
          <w:color w:val="000000"/>
        </w:rPr>
        <w:t>oestradiolémie</w:t>
      </w:r>
      <w:r>
        <w:rPr>
          <w:i/>
          <w:color w:val="000000"/>
        </w:rPr>
        <w:t xml:space="preserve"> (</w:t>
      </w:r>
      <w:r>
        <w:rPr>
          <w:b/>
          <w:i/>
          <w:color w:val="000000"/>
        </w:rPr>
        <w:t xml:space="preserve">tableau d’hypogonadisme </w:t>
      </w:r>
      <w:r>
        <w:rPr>
          <w:b/>
          <w:i/>
          <w:color w:val="000000"/>
        </w:rPr>
        <w:t>hypogonadotrope</w:t>
      </w:r>
      <w:r>
        <w:rPr>
          <w:b/>
          <w:i/>
          <w:color w:val="000000"/>
        </w:rPr>
        <w:t>)</w:t>
      </w:r>
    </w:p>
    <w:p>
      <w:pPr>
        <w:numPr>
          <w:ilvl w:val="0"/>
          <w:numId w:val="53"/>
        </w:numPr>
      </w:pPr>
      <w:r>
        <w:rPr>
          <w:b/>
          <w:i/>
          <w:color w:val="000000"/>
        </w:rPr>
        <w:t>Tableau biologique d’insuffisance ovarienne non spécifique :</w:t>
      </w:r>
    </w:p>
    <w:p>
      <w:pPr>
        <w:numPr>
          <w:ilvl w:val="1"/>
          <w:numId w:val="53"/>
        </w:numPr>
      </w:pPr>
      <w:r>
        <w:rPr>
          <w:i/>
          <w:color w:val="000000"/>
        </w:rPr>
        <w:t>Taux d’</w:t>
      </w:r>
      <w:r>
        <w:rPr>
          <w:i/>
          <w:color w:val="000000"/>
        </w:rPr>
        <w:t>oestradiol</w:t>
      </w:r>
      <w:r>
        <w:rPr>
          <w:i/>
          <w:color w:val="000000"/>
        </w:rPr>
        <w:t xml:space="preserve"> effondré </w:t>
      </w:r>
      <w:r>
        <w:rPr>
          <w:b/>
          <w:i/>
          <w:color w:val="000000"/>
        </w:rPr>
        <w:t>(E2</w:t>
      </w:r>
      <w:r>
        <w:rPr>
          <w:rFonts w:ascii="Symbol" w:hAnsi="Symbol"/>
          <w:b/>
          <w:i/>
          <w:color w:val="000000"/>
        </w:rPr>
      </w:r>
      <w:r>
        <w:rPr>
          <w:b/>
          <w:i/>
          <w:color w:val="000000"/>
        </w:rPr>
        <w:t xml:space="preserve"> </w:t>
      </w:r>
      <w:r>
        <w:rPr>
          <w:b/>
          <w:i/>
          <w:color w:val="000000"/>
        </w:rPr>
        <w:t>50</w:t>
      </w:r>
      <w:r>
        <w:rPr/>
      </w:r>
      <w:r>
        <w:rPr>
          <w:b/>
          <w:i/>
          <w:color w:val="000000"/>
        </w:rPr>
        <w:t>pg/ml)</w:t>
      </w:r>
    </w:p>
    <w:p>
      <w:pPr>
        <w:numPr>
          <w:ilvl w:val="1"/>
          <w:numId w:val="53"/>
        </w:numPr>
      </w:pPr>
      <w:r>
        <w:rPr>
          <w:i/>
          <w:color w:val="000000"/>
        </w:rPr>
        <w:t xml:space="preserve">Elévation des gonadotrophines, surtout </w:t>
      </w:r>
      <w:r>
        <w:rPr>
          <w:b/>
          <w:i/>
          <w:color w:val="000000"/>
        </w:rPr>
        <w:t>FSH (</w:t>
      </w:r>
      <w:r>
        <w:rPr>
          <w:rFonts w:ascii="Symbol" w:hAnsi="Symbol"/>
          <w:b/>
          <w:i/>
          <w:color w:val="000000"/>
        </w:rPr>
      </w:r>
      <w:r>
        <w:rPr>
          <w:b/>
          <w:i/>
          <w:color w:val="000000"/>
        </w:rPr>
        <w:t xml:space="preserve"> 20 </w:t>
      </w:r>
      <w:r>
        <w:rPr>
          <w:b/>
          <w:i/>
          <w:color w:val="000000"/>
        </w:rPr>
        <w:t>mUI</w:t>
      </w:r>
      <w:r>
        <w:rPr>
          <w:b/>
          <w:i/>
          <w:color w:val="000000"/>
        </w:rPr>
        <w:t>/ml)</w:t>
      </w:r>
    </w:p>
    <w:p>
      <w:pPr>
        <w:numPr>
          <w:ilvl w:val="1"/>
          <w:numId w:val="53"/>
        </w:numPr>
      </w:pPr>
      <w:r>
        <w:rPr>
          <w:i/>
          <w:color w:val="000000"/>
        </w:rPr>
        <w:t xml:space="preserve">Insuffisance lutéale avec taux de </w:t>
      </w:r>
      <w:r>
        <w:rPr>
          <w:i/>
          <w:color w:val="000000"/>
        </w:rPr>
        <w:t>progestérone</w:t>
      </w:r>
      <w:r>
        <w:rPr/>
      </w:r>
      <w:r>
        <w:rPr>
          <w:i/>
          <w:color w:val="000000"/>
        </w:rPr>
        <w:t xml:space="preserve"> </w:t>
      </w:r>
      <w:r>
        <w:rPr>
          <w:i/>
          <w:color w:val="000000"/>
        </w:rPr>
        <w:t>indosable</w:t>
      </w:r>
    </w:p>
    <w:p>
      <w:pPr>
        <w:numPr>
          <w:ilvl w:val="1"/>
          <w:numId w:val="53"/>
        </w:numPr>
      </w:pPr>
      <w:r>
        <w:rPr>
          <w:i/>
          <w:color w:val="000000"/>
        </w:rPr>
        <w:t>Hyperandrogénie relative)</w:t>
      </w:r>
    </w:p>
    <w:p>
      <w:pPr>
        <w:pStyle w:val="Heading3"/>
      </w:pPr>
      <w:r>
        <w:rPr/>
        <w:t>CONSEQUENCES</w:t>
      </w:r>
    </w:p>
    <w:p>
      <w:pPr>
        <w:pStyle w:val="Heading4"/>
      </w:pPr>
      <w:r>
        <w:rPr/>
        <w:t>Syndrome climatérique</w:t>
      </w:r>
    </w:p>
    <w:p>
      <w:pPr>
        <w:numPr>
          <w:ilvl w:val="0"/>
          <w:numId w:val="54"/>
        </w:numPr>
      </w:pPr>
      <w:r>
        <w:rPr>
          <w:color w:val="000000"/>
        </w:rPr>
        <w:t>Variable d’une femme à une autre (fréquence, intensité, moment d’apparition et durée)</w:t>
      </w:r>
      <w:r>
        <w:rPr>
          <w:color w:val="000000"/>
        </w:rPr>
        <w:br/>
      </w:r>
    </w:p>
    <w:p>
      <w:pPr>
        <w:numPr>
          <w:ilvl w:val="0"/>
          <w:numId w:val="54"/>
        </w:numPr>
      </w:pPr>
      <w:r>
        <w:rPr>
          <w:b/>
          <w:color w:val="000000"/>
        </w:rPr>
        <w:t xml:space="preserve">Bouffées vasomotrices : </w:t>
      </w:r>
      <w:r>
        <w:rPr>
          <w:color w:val="000000"/>
        </w:rPr>
        <w:t xml:space="preserve">simple rougeur de la face ou bouffées de </w:t>
      </w:r>
      <w:r>
        <w:rPr>
          <w:color w:val="000000"/>
        </w:rPr>
        <w:t>chaleur</w:t>
      </w:r>
      <w:r>
        <w:rPr>
          <w:color w:val="000000"/>
        </w:rPr>
        <w:t xml:space="preserve">, cédant à une </w:t>
      </w:r>
      <w:r>
        <w:rPr>
          <w:color w:val="000000"/>
        </w:rPr>
        <w:t>oestrogénothérapie</w:t>
      </w:r>
      <w:r>
        <w:rPr>
          <w:color w:val="000000"/>
        </w:rPr>
        <w:t xml:space="preserve"> modérée (</w:t>
      </w:r>
      <w:r>
        <w:rPr>
          <w:i/>
          <w:color w:val="000000"/>
        </w:rPr>
        <w:t>car = signe de carence oestrogénique)</w:t>
      </w:r>
      <w:r>
        <w:rPr>
          <w:i/>
          <w:color w:val="000000"/>
        </w:rPr>
        <w:br/>
      </w:r>
    </w:p>
    <w:p>
      <w:pPr>
        <w:numPr>
          <w:ilvl w:val="0"/>
          <w:numId w:val="54"/>
        </w:numPr>
      </w:pPr>
      <w:r>
        <w:rPr>
          <w:b/>
          <w:color w:val="000000"/>
        </w:rPr>
        <w:t xml:space="preserve">Autres troubles climatériques : </w:t>
      </w:r>
    </w:p>
    <w:p>
      <w:pPr>
        <w:numPr>
          <w:ilvl w:val="1"/>
          <w:numId w:val="54"/>
        </w:numPr>
      </w:pPr>
      <w:r>
        <w:rPr>
          <w:b/>
          <w:color w:val="000000"/>
        </w:rPr>
        <w:t>Troubles de l’humeur</w:t>
      </w:r>
      <w:r>
        <w:rPr>
          <w:color w:val="000000"/>
        </w:rPr>
        <w:t xml:space="preserve"> (irritabilité, état dépressif, anxiété, tristesse)</w:t>
      </w:r>
    </w:p>
    <w:p>
      <w:pPr>
        <w:numPr>
          <w:ilvl w:val="1"/>
          <w:numId w:val="54"/>
        </w:numPr>
      </w:pPr>
      <w:r>
        <w:rPr>
          <w:color w:val="000000"/>
        </w:rPr>
        <w:t>Insomnie</w:t>
      </w:r>
    </w:p>
    <w:p>
      <w:pPr>
        <w:numPr>
          <w:ilvl w:val="1"/>
          <w:numId w:val="54"/>
        </w:numPr>
      </w:pPr>
      <w:r>
        <w:rPr>
          <w:color w:val="000000"/>
        </w:rPr>
        <w:t>Pertes de mémoire</w:t>
      </w:r>
    </w:p>
    <w:p>
      <w:pPr>
        <w:numPr>
          <w:ilvl w:val="1"/>
          <w:numId w:val="54"/>
        </w:numPr>
      </w:pPr>
      <w:r>
        <w:rPr>
          <w:color w:val="000000"/>
        </w:rPr>
        <w:t>Sécheresse vaginale -&gt; dyspareunie</w:t>
      </w:r>
    </w:p>
    <w:p>
      <w:pPr>
        <w:numPr>
          <w:ilvl w:val="1"/>
          <w:numId w:val="54"/>
        </w:numPr>
      </w:pPr>
      <w:r>
        <w:rPr>
          <w:color w:val="000000"/>
        </w:rPr>
        <w:t>Modifications de la libido et de la voix, etc.</w:t>
      </w:r>
      <w:r>
        <w:rPr>
          <w:color w:val="000000"/>
        </w:rPr>
        <w:br/>
      </w:r>
    </w:p>
    <w:p>
      <w:pPr>
        <w:numPr>
          <w:ilvl w:val="0"/>
          <w:numId w:val="54"/>
        </w:numPr>
      </w:pPr>
      <w:r>
        <w:rPr>
          <w:b/>
          <w:color w:val="000000"/>
        </w:rPr>
        <w:t>Vulve et vagin : Atrophie</w:t>
      </w:r>
    </w:p>
    <w:p>
      <w:pPr>
        <w:numPr>
          <w:ilvl w:val="1"/>
          <w:numId w:val="54"/>
        </w:numPr>
      </w:pPr>
      <w:r>
        <w:rPr>
          <w:color w:val="000000"/>
        </w:rPr>
        <w:t>Les grandes et petites lèvres s’amincissent, se dépigmentent, deviennent moins saillantes, le repli des petites lèvres pouvant disparaître totalement</w:t>
      </w:r>
    </w:p>
    <w:p>
      <w:pPr>
        <w:numPr>
          <w:ilvl w:val="1"/>
          <w:numId w:val="54"/>
        </w:numPr>
      </w:pPr>
      <w:r>
        <w:rPr>
          <w:color w:val="000000"/>
        </w:rPr>
        <w:t>Orifice vulvaire et la lumière vaginale se rétrécissent, muqueuse sèche, fragile, saignant facilement au contact</w:t>
      </w:r>
    </w:p>
    <w:p>
      <w:pPr>
        <w:numPr>
          <w:ilvl w:val="1"/>
          <w:numId w:val="54"/>
        </w:numPr>
      </w:pPr>
      <w:r>
        <w:rPr>
          <w:color w:val="000000"/>
        </w:rPr>
        <w:t>Culs-de-sac vaginaux s’estompent, col utérin ne se remarquant que par un orifice punctiforme au fond de la cavité vaginale</w:t>
      </w:r>
    </w:p>
    <w:p>
      <w:pPr>
        <w:numPr>
          <w:ilvl w:val="1"/>
          <w:numId w:val="54"/>
        </w:numPr>
      </w:pPr>
      <w:r>
        <w:rPr>
          <w:color w:val="000000"/>
        </w:rPr>
        <w:t>La flore de protection vaginale diminue -&gt; sensibilité accrue aux infections</w:t>
      </w:r>
    </w:p>
    <w:p>
      <w:pPr/>
    </w:p>
    <w:p>
      <w:pPr>
        <w:numPr>
          <w:ilvl w:val="0"/>
          <w:numId w:val="54"/>
        </w:numPr>
      </w:pPr>
      <w:r>
        <w:rPr>
          <w:color w:val="000000"/>
        </w:rPr>
        <w:t>Col de l’utérus</w:t>
      </w:r>
    </w:p>
    <w:p>
      <w:pPr>
        <w:numPr>
          <w:ilvl w:val="0"/>
          <w:numId w:val="55"/>
        </w:numPr>
      </w:pPr>
      <w:r>
        <w:rPr>
          <w:color w:val="000000"/>
        </w:rPr>
        <w:t>Atrophie marquée par une diminution de taille, les lèvres se rapprochent et l’orifice tend à se fermer, voire à disparaître</w:t>
      </w:r>
    </w:p>
    <w:p>
      <w:pPr>
        <w:numPr>
          <w:ilvl w:val="0"/>
          <w:numId w:val="55"/>
        </w:numPr>
      </w:pPr>
      <w:r>
        <w:rPr>
          <w:color w:val="000000"/>
        </w:rPr>
        <w:t xml:space="preserve">La jonction </w:t>
      </w:r>
      <w:r>
        <w:rPr>
          <w:color w:val="000000"/>
        </w:rPr>
        <w:t>pavimento</w:t>
      </w:r>
      <w:r>
        <w:rPr>
          <w:color w:val="000000"/>
        </w:rPr>
        <w:t xml:space="preserve">-cylindrique recule à l’intérieur du canal, inaccessible à la colposcopie, rendant </w:t>
      </w:r>
      <w:r>
        <w:rPr>
          <w:color w:val="000000"/>
        </w:rPr>
        <w:t>difficle</w:t>
      </w:r>
      <w:r>
        <w:rPr>
          <w:color w:val="000000"/>
        </w:rPr>
        <w:t xml:space="preserve"> la pratique de FCU</w:t>
      </w:r>
    </w:p>
    <w:p>
      <w:pPr/>
    </w:p>
    <w:p>
      <w:pPr>
        <w:numPr>
          <w:ilvl w:val="0"/>
          <w:numId w:val="54"/>
        </w:numPr>
      </w:pPr>
      <w:r>
        <w:rPr>
          <w:b/>
          <w:color w:val="000000"/>
        </w:rPr>
        <w:t>Autres conséquences</w:t>
      </w:r>
    </w:p>
    <w:p>
      <w:pPr>
        <w:numPr>
          <w:ilvl w:val="0"/>
          <w:numId w:val="56"/>
        </w:numPr>
      </w:pPr>
      <w:r>
        <w:rPr>
          <w:color w:val="000000"/>
        </w:rPr>
        <w:t>Troubles urinaires :</w:t>
      </w:r>
    </w:p>
    <w:p>
      <w:pPr>
        <w:numPr>
          <w:ilvl w:val="1"/>
          <w:numId w:val="56"/>
        </w:numPr>
      </w:pPr>
      <w:r>
        <w:rPr>
          <w:color w:val="000000"/>
        </w:rPr>
        <w:t>Dysurie</w:t>
      </w:r>
    </w:p>
    <w:p>
      <w:pPr>
        <w:numPr>
          <w:ilvl w:val="1"/>
          <w:numId w:val="56"/>
        </w:numPr>
      </w:pPr>
      <w:r>
        <w:rPr>
          <w:color w:val="000000"/>
        </w:rPr>
        <w:t>Incontinence urinaire</w:t>
      </w:r>
    </w:p>
    <w:p>
      <w:pPr>
        <w:numPr>
          <w:ilvl w:val="1"/>
          <w:numId w:val="56"/>
        </w:numPr>
      </w:pPr>
      <w:r>
        <w:rPr>
          <w:color w:val="000000"/>
        </w:rPr>
        <w:t>Impériosité mictionnelle</w:t>
      </w:r>
    </w:p>
    <w:p>
      <w:pPr>
        <w:numPr>
          <w:ilvl w:val="0"/>
          <w:numId w:val="56"/>
        </w:numPr>
      </w:pPr>
      <w:r>
        <w:rPr>
          <w:color w:val="000000"/>
        </w:rPr>
        <w:t xml:space="preserve">Poils et cheveux : </w:t>
      </w:r>
    </w:p>
    <w:p>
      <w:pPr>
        <w:numPr>
          <w:ilvl w:val="1"/>
          <w:numId w:val="56"/>
        </w:numPr>
      </w:pPr>
      <w:r>
        <w:rPr>
          <w:color w:val="000000"/>
        </w:rPr>
        <w:t>ils</w:t>
      </w:r>
      <w:r>
        <w:rPr>
          <w:color w:val="000000"/>
        </w:rPr>
        <w:t xml:space="preserve"> tendent à se </w:t>
      </w:r>
      <w:r>
        <w:rPr>
          <w:color w:val="000000"/>
        </w:rPr>
        <w:t>clairesemer</w:t>
      </w:r>
      <w:r>
        <w:rPr>
          <w:color w:val="000000"/>
        </w:rPr>
        <w:t xml:space="preserve"> dans les zones </w:t>
      </w:r>
      <w:r>
        <w:rPr>
          <w:color w:val="000000"/>
        </w:rPr>
        <w:t>oestrogéno</w:t>
      </w:r>
      <w:r>
        <w:rPr>
          <w:color w:val="000000"/>
        </w:rPr>
        <w:t>-dépendantes</w:t>
      </w:r>
    </w:p>
    <w:p>
      <w:pPr>
        <w:numPr>
          <w:ilvl w:val="1"/>
          <w:numId w:val="56"/>
        </w:numPr>
      </w:pPr>
      <w:r>
        <w:rPr>
          <w:color w:val="000000"/>
        </w:rPr>
        <w:t>Pilosité type androgénique (lèvres, joues)</w:t>
      </w:r>
      <w:r>
        <w:rPr>
          <w:color w:val="000000"/>
        </w:rPr>
        <w:br/>
      </w:r>
    </w:p>
    <w:p>
      <w:pPr>
        <w:numPr>
          <w:ilvl w:val="0"/>
          <w:numId w:val="56"/>
        </w:numPr>
      </w:pPr>
      <w:r>
        <w:rPr>
          <w:color w:val="000000"/>
        </w:rPr>
        <w:t>Peau : amincissement</w:t>
      </w:r>
    </w:p>
    <w:p>
      <w:pPr>
        <w:numPr>
          <w:ilvl w:val="0"/>
          <w:numId w:val="56"/>
        </w:numPr>
      </w:pPr>
      <w:r>
        <w:rPr>
          <w:color w:val="000000"/>
        </w:rPr>
        <w:t xml:space="preserve">Poids : augmentation de l’IMC </w:t>
      </w:r>
      <w:r>
        <w:rPr>
          <w:i/>
          <w:color w:val="000000"/>
        </w:rPr>
        <w:t>(prise de poids)</w:t>
      </w:r>
    </w:p>
    <w:p>
      <w:pPr>
        <w:numPr>
          <w:ilvl w:val="0"/>
          <w:numId w:val="56"/>
        </w:numPr>
      </w:pPr>
      <w:r>
        <w:rPr>
          <w:color w:val="000000"/>
        </w:rPr>
        <w:t>Douleurs articulaires et ligamentaires</w:t>
      </w:r>
    </w:p>
    <w:p>
      <w:pPr/>
    </w:p>
    <w:p>
      <w:pPr>
        <w:pStyle w:val="Heading4"/>
      </w:pPr>
      <w:r>
        <w:rPr/>
        <w:t>Risques</w:t>
      </w:r>
    </w:p>
    <w:p>
      <w:pPr>
        <w:numPr>
          <w:ilvl w:val="0"/>
          <w:numId w:val="57"/>
        </w:numPr>
      </w:pPr>
      <w:r>
        <w:rPr>
          <w:color w:val="000000"/>
        </w:rPr>
        <w:t>Ostéoporose post-ménopausique :</w:t>
      </w:r>
    </w:p>
    <w:p>
      <w:pPr>
        <w:numPr>
          <w:ilvl w:val="1"/>
          <w:numId w:val="57"/>
        </w:numPr>
      </w:pPr>
      <w:r>
        <w:rPr>
          <w:color w:val="000000"/>
        </w:rPr>
        <w:t>Se manifeste 7 à 10 ans après l’arrêt des règles</w:t>
      </w:r>
    </w:p>
    <w:p>
      <w:pPr>
        <w:numPr>
          <w:ilvl w:val="1"/>
          <w:numId w:val="57"/>
        </w:numPr>
      </w:pPr>
      <w:r>
        <w:rPr>
          <w:color w:val="000000"/>
        </w:rPr>
        <w:t>Risque accru de fracture : rachis, poignet, col du fémur</w:t>
      </w:r>
    </w:p>
    <w:p>
      <w:pPr>
        <w:numPr>
          <w:ilvl w:val="1"/>
          <w:numId w:val="57"/>
        </w:numPr>
      </w:pPr>
      <w:r>
        <w:rPr>
          <w:color w:val="000000"/>
        </w:rPr>
        <w:t xml:space="preserve">Diagnostic posé à </w:t>
      </w:r>
      <w:r>
        <w:rPr>
          <w:b/>
          <w:color w:val="000000"/>
        </w:rPr>
        <w:t>l’Ostéodensitométrie : Ostéoporose</w:t>
      </w:r>
      <w:r>
        <w:rPr>
          <w:color w:val="000000"/>
        </w:rPr>
        <w:t xml:space="preserve"> densitométrique = </w:t>
      </w:r>
      <w:r>
        <w:rPr>
          <w:b/>
          <w:color w:val="000000"/>
        </w:rPr>
        <w:t>T-score &lt; -2,5 DS</w:t>
      </w:r>
    </w:p>
    <w:p>
      <w:pPr>
        <w:numPr>
          <w:ilvl w:val="0"/>
          <w:numId w:val="57"/>
        </w:numPr>
      </w:pPr>
      <w:r>
        <w:rPr>
          <w:color w:val="000000"/>
        </w:rPr>
        <w:t>Athérosclérose coronarienne</w:t>
      </w:r>
    </w:p>
    <w:p>
      <w:pPr/>
    </w:p>
    <w:p>
      <w:pPr/>
      <w:r>
        <w:rPr>
          <w:color w:val="00000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