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LES PETITS MAUX DE LA GROSSESSE</w:t>
      </w:r>
    </w:p>
    <w:p>
      <w:pPr>
        <w:pStyle w:val="Heading2"/>
      </w:pPr>
      <w:r>
        <w:rPr/>
        <w:t>Objectifs :</w:t>
      </w:r>
    </w:p>
    <w:p>
      <w:pPr>
        <w:numPr>
          <w:ilvl w:val="0"/>
          <w:numId w:val="58"/>
        </w:numPr>
      </w:pPr>
      <w:r>
        <w:rPr>
          <w:color w:val="000000"/>
        </w:rPr>
        <w:t>Décrire les petits maux de la grossesse</w:t>
      </w:r>
    </w:p>
    <w:p>
      <w:pPr>
        <w:numPr>
          <w:ilvl w:val="0"/>
          <w:numId w:val="58"/>
        </w:numPr>
      </w:pPr>
      <w:r>
        <w:rPr>
          <w:color w:val="000000"/>
        </w:rPr>
        <w:t>Décrire le principe du traitement des troubles</w:t>
      </w:r>
    </w:p>
    <w:p>
      <w:pPr/>
    </w:p>
    <w:p>
      <w:pPr>
        <w:pStyle w:val="Heading2"/>
      </w:pPr>
      <w:r>
        <w:rPr/>
        <w:t>INTRODUCTION</w:t>
      </w:r>
    </w:p>
    <w:p>
      <w:pPr>
        <w:numPr>
          <w:ilvl w:val="0"/>
          <w:numId w:val="59"/>
        </w:numPr>
      </w:pPr>
      <w:r>
        <w:rPr>
          <w:color w:val="000000"/>
        </w:rPr>
        <w:t>Incidence de 45-89% des femmes enceintes</w:t>
      </w:r>
    </w:p>
    <w:p>
      <w:pPr>
        <w:numPr>
          <w:ilvl w:val="0"/>
          <w:numId w:val="59"/>
        </w:numPr>
      </w:pPr>
      <w:r>
        <w:rPr>
          <w:color w:val="000000"/>
        </w:rPr>
        <w:t>Parfois source d’inconfort</w:t>
      </w:r>
    </w:p>
    <w:p>
      <w:pPr>
        <w:numPr>
          <w:ilvl w:val="0"/>
          <w:numId w:val="59"/>
        </w:numPr>
      </w:pPr>
      <w:r>
        <w:rPr>
          <w:color w:val="000000"/>
        </w:rPr>
        <w:t>Gravité :</w:t>
      </w:r>
    </w:p>
    <w:p>
      <w:pPr>
        <w:numPr>
          <w:ilvl w:val="1"/>
          <w:numId w:val="59"/>
        </w:numPr>
      </w:pPr>
      <w:r>
        <w:rPr>
          <w:color w:val="000000"/>
        </w:rPr>
        <w:t>Retentissement systémique</w:t>
      </w:r>
    </w:p>
    <w:p>
      <w:pPr>
        <w:numPr>
          <w:ilvl w:val="1"/>
          <w:numId w:val="59"/>
        </w:numPr>
      </w:pPr>
      <w:r>
        <w:rPr>
          <w:color w:val="000000"/>
        </w:rPr>
        <w:t xml:space="preserve">Traitement maternel -&gt; effets pouvant être néfastes pour le </w:t>
      </w:r>
      <w:r>
        <w:rPr>
          <w:color w:val="000000"/>
        </w:rPr>
        <w:t>foetus</w:t>
      </w:r>
    </w:p>
    <w:p>
      <w:pPr>
        <w:numPr>
          <w:ilvl w:val="0"/>
          <w:numId w:val="59"/>
        </w:numPr>
      </w:pPr>
      <w:r>
        <w:rPr>
          <w:i/>
          <w:color w:val="000000"/>
        </w:rPr>
        <w:t xml:space="preserve">Fréquent au cours des grossesses normales (ex : vomissement : </w:t>
      </w:r>
      <w:r>
        <w:rPr>
          <w:i/>
          <w:color w:val="000000"/>
        </w:rPr>
        <w:t>plus bon</w:t>
      </w:r>
      <w:r>
        <w:rPr>
          <w:i/>
          <w:color w:val="000000"/>
        </w:rPr>
        <w:t xml:space="preserve"> pronostic car progestérone élevé, protection contre MAP)</w:t>
      </w:r>
    </w:p>
    <w:p>
      <w:pPr/>
    </w:p>
    <w:p>
      <w:pPr>
        <w:pStyle w:val="Heading2"/>
      </w:pPr>
      <w:r>
        <w:rPr/>
        <w:t>VOMISSEMENTS ET NAUSEES</w:t>
      </w:r>
    </w:p>
    <w:p>
      <w:pPr>
        <w:numPr>
          <w:ilvl w:val="0"/>
          <w:numId w:val="60"/>
        </w:numPr>
      </w:pPr>
      <w:r>
        <w:rPr>
          <w:color w:val="000000"/>
        </w:rPr>
        <w:t>Les plus fréquents</w:t>
      </w:r>
    </w:p>
    <w:p>
      <w:pPr>
        <w:numPr>
          <w:ilvl w:val="0"/>
          <w:numId w:val="60"/>
        </w:numPr>
      </w:pPr>
      <w:r>
        <w:rPr>
          <w:color w:val="000000"/>
        </w:rPr>
        <w:t>45 - 55% (voire même 89% dans certaines études)</w:t>
      </w:r>
    </w:p>
    <w:p>
      <w:pPr>
        <w:numPr>
          <w:ilvl w:val="0"/>
          <w:numId w:val="60"/>
        </w:numPr>
      </w:pPr>
      <w:r>
        <w:rPr>
          <w:color w:val="000000"/>
        </w:rPr>
        <w:t>10% seulement nécessitent des traitements actifs</w:t>
      </w:r>
    </w:p>
    <w:p>
      <w:pPr/>
    </w:p>
    <w:p>
      <w:pPr>
        <w:pStyle w:val="Heading3"/>
      </w:pPr>
      <w:r>
        <w:rPr/>
        <w:t>Mécanismes</w:t>
      </w:r>
    </w:p>
    <w:p>
      <w:pPr>
        <w:numPr>
          <w:ilvl w:val="0"/>
          <w:numId w:val="61"/>
        </w:numPr>
      </w:pPr>
      <w:r>
        <w:rPr>
          <w:color w:val="000000"/>
        </w:rPr>
        <w:t>Taux excessif de sécrétion de HCG (Grossesse molaire - mole)</w:t>
      </w:r>
    </w:p>
    <w:p>
      <w:pPr>
        <w:numPr>
          <w:ilvl w:val="0"/>
          <w:numId w:val="61"/>
        </w:numPr>
      </w:pPr>
      <w:r>
        <w:rPr>
          <w:color w:val="000000"/>
        </w:rPr>
        <w:t>Trouble du métabolisme hépatique de l’</w:t>
      </w:r>
      <w:r>
        <w:rPr>
          <w:color w:val="000000"/>
        </w:rPr>
        <w:t>oestrogène</w:t>
      </w:r>
    </w:p>
    <w:p>
      <w:pPr>
        <w:numPr>
          <w:ilvl w:val="0"/>
          <w:numId w:val="61"/>
        </w:numPr>
      </w:pPr>
      <w:r>
        <w:rPr>
          <w:color w:val="000000"/>
        </w:rPr>
        <w:t>Trouble psychologique</w:t>
      </w:r>
    </w:p>
    <w:p>
      <w:pPr>
        <w:numPr>
          <w:ilvl w:val="0"/>
          <w:numId w:val="61"/>
        </w:numPr>
      </w:pPr>
      <w:r>
        <w:rPr>
          <w:color w:val="000000"/>
        </w:rPr>
        <w:t>Prédisposition somatique</w:t>
      </w:r>
    </w:p>
    <w:p>
      <w:pPr/>
    </w:p>
    <w:p>
      <w:pPr>
        <w:pStyle w:val="Heading3"/>
      </w:pPr>
      <w:r>
        <w:rPr/>
        <w:t>Causes organiques à éliminer</w:t>
      </w:r>
      <w:r>
        <w:rPr/>
      </w:r>
    </w:p>
    <w:p>
      <w:pPr>
        <w:numPr>
          <w:ilvl w:val="0"/>
          <w:numId w:val="62"/>
        </w:numPr>
      </w:pPr>
      <w:r>
        <w:rPr>
          <w:color w:val="000000"/>
        </w:rPr>
        <w:t xml:space="preserve">Grossesse molaire, grossesse </w:t>
      </w:r>
      <w:r>
        <w:rPr>
          <w:color w:val="000000"/>
        </w:rPr>
        <w:t>géméllaire</w:t>
      </w:r>
    </w:p>
    <w:p>
      <w:pPr>
        <w:numPr>
          <w:ilvl w:val="0"/>
          <w:numId w:val="62"/>
        </w:numPr>
      </w:pPr>
      <w:r>
        <w:rPr>
          <w:color w:val="000000"/>
        </w:rPr>
        <w:t>Hernie étranglée</w:t>
      </w:r>
    </w:p>
    <w:p>
      <w:pPr>
        <w:numPr>
          <w:ilvl w:val="0"/>
          <w:numId w:val="62"/>
        </w:numPr>
      </w:pPr>
      <w:r>
        <w:rPr>
          <w:color w:val="000000"/>
        </w:rPr>
        <w:t>Gastro-entérite</w:t>
      </w:r>
    </w:p>
    <w:p>
      <w:pPr>
        <w:numPr>
          <w:ilvl w:val="0"/>
          <w:numId w:val="62"/>
        </w:numPr>
      </w:pPr>
      <w:r>
        <w:rPr>
          <w:color w:val="000000"/>
        </w:rPr>
        <w:t>Appendicite</w:t>
      </w:r>
    </w:p>
    <w:p>
      <w:pPr>
        <w:numPr>
          <w:ilvl w:val="0"/>
          <w:numId w:val="62"/>
        </w:numPr>
      </w:pPr>
      <w:r>
        <w:rPr>
          <w:color w:val="000000"/>
        </w:rPr>
        <w:t>Infection urinaire</w:t>
      </w:r>
    </w:p>
    <w:p>
      <w:pPr/>
    </w:p>
    <w:p>
      <w:pPr>
        <w:pStyle w:val="Heading3"/>
      </w:pPr>
      <w:r>
        <w:rPr/>
        <w:t>Aspects cliniques :</w:t>
      </w:r>
    </w:p>
    <w:p>
      <w:pPr>
        <w:numPr>
          <w:ilvl w:val="0"/>
          <w:numId w:val="63"/>
        </w:numPr>
      </w:pPr>
      <w:r>
        <w:rPr>
          <w:color w:val="000000"/>
        </w:rPr>
        <w:t>Début entre 4 - 6 SA</w:t>
      </w:r>
    </w:p>
    <w:p>
      <w:pPr>
        <w:numPr>
          <w:ilvl w:val="0"/>
          <w:numId w:val="63"/>
        </w:numPr>
      </w:pPr>
      <w:r>
        <w:rPr>
          <w:color w:val="000000"/>
        </w:rPr>
        <w:t>Maximum vers 8 - 12 SA</w:t>
      </w:r>
    </w:p>
    <w:p>
      <w:pPr>
        <w:numPr>
          <w:ilvl w:val="0"/>
          <w:numId w:val="63"/>
        </w:numPr>
      </w:pPr>
      <w:r>
        <w:rPr>
          <w:color w:val="000000"/>
        </w:rPr>
        <w:t xml:space="preserve">Guérison vers 15 - 17 SA (disparaît vers 4 mois de </w:t>
      </w:r>
      <w:r>
        <w:rPr>
          <w:color w:val="000000"/>
        </w:rPr>
        <w:t>grossesse ;</w:t>
      </w:r>
      <w:r>
        <w:rPr>
          <w:color w:val="000000"/>
        </w:rPr>
        <w:t xml:space="preserve"> au-delà : cause </w:t>
      </w:r>
      <w:r>
        <w:rPr>
          <w:color w:val="000000"/>
        </w:rPr>
        <w:t>organique?</w:t>
      </w:r>
      <w:r>
        <w:rPr>
          <w:color w:val="000000"/>
        </w:rPr>
        <w:t>)</w:t>
      </w:r>
    </w:p>
    <w:p>
      <w:pPr>
        <w:numPr>
          <w:ilvl w:val="0"/>
          <w:numId w:val="63"/>
        </w:numPr>
      </w:pPr>
      <w:r>
        <w:rPr>
          <w:color w:val="000000"/>
        </w:rPr>
        <w:t>Nausée : +++</w:t>
      </w:r>
    </w:p>
    <w:p>
      <w:pPr>
        <w:numPr>
          <w:ilvl w:val="1"/>
          <w:numId w:val="63"/>
        </w:numPr>
      </w:pPr>
      <w:r>
        <w:rPr>
          <w:color w:val="000000"/>
        </w:rPr>
        <w:t>Matinale</w:t>
      </w:r>
    </w:p>
    <w:p>
      <w:pPr>
        <w:numPr>
          <w:ilvl w:val="1"/>
          <w:numId w:val="63"/>
        </w:numPr>
      </w:pPr>
      <w:r>
        <w:rPr>
          <w:color w:val="000000"/>
        </w:rPr>
        <w:t>Calmée par la première prise alimentaire</w:t>
      </w:r>
    </w:p>
    <w:p>
      <w:pPr>
        <w:numPr>
          <w:ilvl w:val="1"/>
          <w:numId w:val="63"/>
        </w:numPr>
      </w:pPr>
      <w:r>
        <w:rPr>
          <w:color w:val="000000"/>
        </w:rPr>
        <w:t>+/- Ptyalisme</w:t>
      </w:r>
    </w:p>
    <w:p>
      <w:pPr>
        <w:numPr>
          <w:ilvl w:val="1"/>
          <w:numId w:val="63"/>
        </w:numPr>
      </w:pPr>
      <w:r>
        <w:rPr>
          <w:color w:val="000000"/>
        </w:rPr>
        <w:t>Pouvant entraîner un vomissement</w:t>
      </w:r>
    </w:p>
    <w:p>
      <w:pPr/>
    </w:p>
    <w:p>
      <w:pPr>
        <w:pStyle w:val="Heading3"/>
      </w:pPr>
      <w:r>
        <w:rPr/>
        <w:t>Traitement</w:t>
      </w:r>
    </w:p>
    <w:p>
      <w:pPr>
        <w:pStyle w:val="Heading4"/>
      </w:pPr>
      <w:r>
        <w:rPr/>
        <w:t>Curatif</w:t>
      </w:r>
    </w:p>
    <w:p>
      <w:pPr>
        <w:numPr>
          <w:ilvl w:val="0"/>
          <w:numId w:val="64"/>
        </w:numPr>
      </w:pPr>
      <w:r>
        <w:rPr>
          <w:color w:val="000000"/>
        </w:rPr>
        <w:t xml:space="preserve">Traiter </w:t>
      </w:r>
      <w:r>
        <w:rPr>
          <w:color w:val="000000"/>
        </w:rPr>
        <w:t>précocément</w:t>
      </w:r>
    </w:p>
    <w:p>
      <w:pPr>
        <w:numPr>
          <w:ilvl w:val="0"/>
          <w:numId w:val="64"/>
        </w:numPr>
      </w:pPr>
      <w:r>
        <w:rPr>
          <w:color w:val="000000"/>
        </w:rPr>
        <w:t>Proportionner le traitement avec l’importance du symptôme (traitement symptomatique)</w:t>
      </w:r>
      <w:r>
        <w:rPr>
          <w:color w:val="000000"/>
        </w:rPr>
        <w:br/>
      </w:r>
    </w:p>
    <w:p>
      <w:pPr>
        <w:pStyle w:val="Heading5"/>
      </w:pPr>
      <w:r>
        <w:rPr/>
        <w:t>Hygiène alimentaire :</w:t>
      </w:r>
    </w:p>
    <w:p>
      <w:pPr>
        <w:numPr>
          <w:ilvl w:val="2"/>
          <w:numId w:val="64"/>
        </w:numPr>
      </w:pPr>
      <w:r>
        <w:rPr>
          <w:color w:val="000000"/>
        </w:rPr>
        <w:t>Fractionner les repas</w:t>
      </w:r>
    </w:p>
    <w:p>
      <w:pPr>
        <w:numPr>
          <w:ilvl w:val="2"/>
          <w:numId w:val="64"/>
        </w:numPr>
      </w:pPr>
      <w:r>
        <w:rPr>
          <w:color w:val="000000"/>
        </w:rPr>
        <w:t>Eviter les aliments trop glucidiques ou trop gras</w:t>
      </w:r>
    </w:p>
    <w:p>
      <w:pPr>
        <w:numPr>
          <w:ilvl w:val="2"/>
          <w:numId w:val="64"/>
        </w:numPr>
      </w:pPr>
      <w:r>
        <w:rPr>
          <w:color w:val="000000"/>
        </w:rPr>
        <w:t>Favoriser les protéines +++</w:t>
      </w:r>
    </w:p>
    <w:p>
      <w:pPr>
        <w:numPr>
          <w:ilvl w:val="2"/>
          <w:numId w:val="64"/>
        </w:numPr>
      </w:pPr>
      <w:r>
        <w:rPr>
          <w:color w:val="000000"/>
        </w:rPr>
        <w:t>Régimes semi-liquides le matin</w:t>
      </w:r>
      <w:r>
        <w:rPr>
          <w:color w:val="000000"/>
        </w:rPr>
        <w:br/>
      </w:r>
    </w:p>
    <w:p>
      <w:pPr>
        <w:pStyle w:val="Heading5"/>
      </w:pPr>
      <w:r>
        <w:rPr/>
        <w:t>Traitement pharmacologique</w:t>
      </w:r>
    </w:p>
    <w:p>
      <w:pPr>
        <w:numPr>
          <w:ilvl w:val="0"/>
          <w:numId w:val="64"/>
        </w:numPr>
      </w:pPr>
      <w:r>
        <w:rPr>
          <w:color w:val="000000"/>
        </w:rPr>
        <w:t>Métoclopramide (</w:t>
      </w:r>
      <w:r>
        <w:rPr>
          <w:color w:val="000000"/>
        </w:rPr>
        <w:t>Primperan</w:t>
      </w:r>
      <w:r>
        <w:rPr>
          <w:color w:val="000000"/>
        </w:rPr>
        <w:t>*) 5-15mg/j</w:t>
      </w:r>
    </w:p>
    <w:p>
      <w:pPr>
        <w:numPr>
          <w:ilvl w:val="0"/>
          <w:numId w:val="64"/>
        </w:numPr>
      </w:pPr>
      <w:r>
        <w:rPr>
          <w:color w:val="000000"/>
        </w:rPr>
        <w:t>Dompéridone (</w:t>
      </w:r>
      <w:r>
        <w:rPr>
          <w:color w:val="000000"/>
        </w:rPr>
        <w:t>Motilium</w:t>
      </w:r>
      <w:r>
        <w:rPr>
          <w:color w:val="000000"/>
        </w:rPr>
        <w:t>*)</w:t>
      </w:r>
    </w:p>
    <w:p>
      <w:pPr/>
    </w:p>
    <w:p>
      <w:pPr>
        <w:pStyle w:val="Heading4"/>
      </w:pPr>
      <w:r>
        <w:rPr/>
        <w:t>Traitement non pharmacologique selon des études :</w:t>
      </w:r>
    </w:p>
    <w:p>
      <w:pPr>
        <w:numPr>
          <w:ilvl w:val="2"/>
          <w:numId w:val="64"/>
        </w:numPr>
      </w:pPr>
      <w:r>
        <w:rPr>
          <w:color w:val="000000"/>
        </w:rPr>
        <w:t>Gingembre en poudre 250mg fois 4/j</w:t>
      </w:r>
    </w:p>
    <w:p>
      <w:pPr>
        <w:numPr>
          <w:ilvl w:val="2"/>
          <w:numId w:val="64"/>
        </w:numPr>
      </w:pPr>
      <w:r>
        <w:rPr>
          <w:color w:val="000000"/>
        </w:rPr>
        <w:t>Vit B6 250 mg x3/j</w:t>
      </w:r>
    </w:p>
    <w:p>
      <w:pPr>
        <w:numPr>
          <w:ilvl w:val="2"/>
          <w:numId w:val="64"/>
        </w:numPr>
      </w:pPr>
      <w:r>
        <w:rPr>
          <w:color w:val="000000"/>
        </w:rPr>
        <w:t>Acupuncture</w:t>
      </w:r>
    </w:p>
    <w:p>
      <w:pPr>
        <w:numPr>
          <w:ilvl w:val="2"/>
          <w:numId w:val="64"/>
        </w:numPr>
      </w:pPr>
      <w:r>
        <w:rPr>
          <w:color w:val="000000"/>
        </w:rPr>
        <w:t>Homéopathie</w:t>
      </w:r>
    </w:p>
    <w:p>
      <w:pPr>
        <w:pStyle w:val="Heading4"/>
      </w:pPr>
      <w:r>
        <w:rPr/>
        <w:t>PEC psychologique : antidépresseur</w:t>
      </w:r>
    </w:p>
    <w:p>
      <w:pPr/>
    </w:p>
    <w:p>
      <w:pPr>
        <w:pStyle w:val="Heading2"/>
      </w:pPr>
      <w:r>
        <w:rPr/>
        <w:t>PTYALISME</w:t>
      </w:r>
    </w:p>
    <w:p>
      <w:pPr>
        <w:numPr>
          <w:ilvl w:val="0"/>
          <w:numId w:val="65"/>
        </w:numPr>
      </w:pPr>
      <w:r>
        <w:rPr>
          <w:color w:val="000000"/>
        </w:rPr>
        <w:t xml:space="preserve">Equivalent mineur </w:t>
      </w:r>
      <w:r>
        <w:rPr>
          <w:color w:val="000000"/>
        </w:rPr>
        <w:t>de la nausée</w:t>
      </w:r>
      <w:r>
        <w:rPr>
          <w:color w:val="000000"/>
        </w:rPr>
        <w:t xml:space="preserve"> : Excrétion salivaire de 1 - 1,5 L/j</w:t>
      </w:r>
    </w:p>
    <w:p>
      <w:pPr>
        <w:numPr>
          <w:ilvl w:val="0"/>
          <w:numId w:val="65"/>
        </w:numPr>
      </w:pPr>
      <w:r>
        <w:rPr>
          <w:color w:val="000000"/>
        </w:rPr>
        <w:t>Traitement :</w:t>
      </w:r>
    </w:p>
    <w:p>
      <w:pPr>
        <w:numPr>
          <w:ilvl w:val="1"/>
          <w:numId w:val="65"/>
        </w:numPr>
      </w:pPr>
      <w:r>
        <w:rPr>
          <w:color w:val="000000"/>
        </w:rPr>
        <w:t>ATROPINE</w:t>
      </w:r>
    </w:p>
    <w:p>
      <w:pPr>
        <w:numPr>
          <w:ilvl w:val="1"/>
          <w:numId w:val="65"/>
        </w:numPr>
      </w:pPr>
      <w:r>
        <w:rPr>
          <w:color w:val="000000"/>
        </w:rPr>
        <w:t>Psychothérapie et hypnothérapie</w:t>
      </w:r>
    </w:p>
    <w:p>
      <w:pPr/>
    </w:p>
    <w:p>
      <w:pPr>
        <w:pStyle w:val="Heading2"/>
      </w:pPr>
      <w:r>
        <w:rPr/>
        <w:t>CONSTIPATION</w:t>
      </w:r>
    </w:p>
    <w:p>
      <w:pPr>
        <w:numPr>
          <w:ilvl w:val="0"/>
          <w:numId w:val="66"/>
        </w:numPr>
      </w:pPr>
      <w:r>
        <w:rPr/>
      </w:r>
    </w:p>
    <w:p>
      <w:pPr>
        <w:numPr>
          <w:ilvl w:val="0"/>
          <w:numId w:val="66"/>
        </w:numPr>
      </w:pPr>
      <w:r>
        <w:rPr>
          <w:color w:val="000000"/>
        </w:rPr>
        <w:t>Adaptation du régime alimentaire</w:t>
      </w:r>
    </w:p>
    <w:p>
      <w:pPr>
        <w:numPr>
          <w:ilvl w:val="1"/>
          <w:numId w:val="66"/>
        </w:numPr>
      </w:pPr>
      <w:r>
        <w:rPr>
          <w:color w:val="000000"/>
        </w:rPr>
        <w:t>Fruits, légumes</w:t>
      </w:r>
    </w:p>
    <w:p>
      <w:pPr>
        <w:numPr>
          <w:ilvl w:val="1"/>
          <w:numId w:val="66"/>
        </w:numPr>
      </w:pPr>
      <w:r>
        <w:rPr>
          <w:color w:val="000000"/>
        </w:rPr>
        <w:t>Se méfier des pains</w:t>
      </w:r>
    </w:p>
    <w:p>
      <w:pPr>
        <w:numPr>
          <w:ilvl w:val="1"/>
          <w:numId w:val="66"/>
        </w:numPr>
      </w:pPr>
      <w:r>
        <w:rPr>
          <w:color w:val="000000"/>
        </w:rPr>
        <w:t>Laxatifs peu irritants pour l’intestin :</w:t>
      </w:r>
    </w:p>
    <w:p>
      <w:pPr>
        <w:numPr>
          <w:ilvl w:val="2"/>
          <w:numId w:val="66"/>
        </w:numPr>
      </w:pPr>
      <w:r>
        <w:rPr>
          <w:color w:val="000000"/>
        </w:rPr>
        <w:t>Mucilage</w:t>
      </w:r>
    </w:p>
    <w:p>
      <w:pPr>
        <w:numPr>
          <w:ilvl w:val="2"/>
          <w:numId w:val="66"/>
        </w:numPr>
      </w:pPr>
      <w:r>
        <w:rPr>
          <w:color w:val="000000"/>
        </w:rPr>
        <w:t>Macrogol</w:t>
      </w:r>
    </w:p>
    <w:p>
      <w:pPr>
        <w:numPr>
          <w:ilvl w:val="2"/>
          <w:numId w:val="66"/>
        </w:numPr>
      </w:pPr>
      <w:r>
        <w:rPr>
          <w:color w:val="000000"/>
        </w:rPr>
        <w:t>Lactulose</w:t>
      </w:r>
    </w:p>
    <w:p>
      <w:pPr>
        <w:numPr>
          <w:ilvl w:val="1"/>
          <w:numId w:val="66"/>
        </w:numPr>
      </w:pPr>
      <w:r>
        <w:rPr>
          <w:color w:val="000000"/>
        </w:rPr>
        <w:t>Si constipation opiniâtre pendant plusieurs jours :</w:t>
      </w:r>
    </w:p>
    <w:p>
      <w:pPr>
        <w:numPr>
          <w:ilvl w:val="2"/>
          <w:numId w:val="66"/>
        </w:numPr>
      </w:pPr>
      <w:r>
        <w:rPr>
          <w:color w:val="000000"/>
        </w:rPr>
        <w:t>Gel à base de Glycérol + Sorbitol</w:t>
      </w:r>
    </w:p>
    <w:p>
      <w:pPr/>
    </w:p>
    <w:p>
      <w:pPr>
        <w:pStyle w:val="Heading2"/>
      </w:pPr>
      <w:r>
        <w:rPr/>
        <w:t>PYROSIS</w:t>
      </w:r>
    </w:p>
    <w:p>
      <w:pPr>
        <w:numPr>
          <w:ilvl w:val="0"/>
          <w:numId w:val="67"/>
        </w:numPr>
      </w:pPr>
      <w:r>
        <w:rPr>
          <w:color w:val="000000"/>
        </w:rPr>
        <w:t xml:space="preserve">RGO : sensation de brûlure </w:t>
      </w:r>
      <w:r>
        <w:rPr>
          <w:color w:val="000000"/>
        </w:rPr>
        <w:t>oesophagienne</w:t>
      </w:r>
    </w:p>
    <w:p>
      <w:pPr>
        <w:numPr>
          <w:ilvl w:val="0"/>
          <w:numId w:val="67"/>
        </w:numPr>
      </w:pPr>
      <w:r>
        <w:rPr>
          <w:color w:val="000000"/>
        </w:rPr>
        <w:t>Fréquent dans le dernier trimestre</w:t>
      </w:r>
    </w:p>
    <w:p>
      <w:pPr>
        <w:numPr>
          <w:ilvl w:val="0"/>
          <w:numId w:val="67"/>
        </w:numPr>
      </w:pPr>
      <w:r>
        <w:rPr>
          <w:color w:val="000000"/>
        </w:rPr>
        <w:t>+/- antécédent de pathologie digestive</w:t>
      </w:r>
    </w:p>
    <w:p>
      <w:pPr>
        <w:numPr>
          <w:ilvl w:val="0"/>
          <w:numId w:val="67"/>
        </w:numPr>
      </w:pPr>
      <w:r>
        <w:rPr>
          <w:color w:val="000000"/>
        </w:rPr>
        <w:t>Examen paraclinique non systématique sauf complications</w:t>
      </w:r>
    </w:p>
    <w:p>
      <w:pPr>
        <w:numPr>
          <w:ilvl w:val="0"/>
          <w:numId w:val="67"/>
        </w:numPr>
      </w:pPr>
      <w:r>
        <w:rPr>
          <w:color w:val="000000"/>
        </w:rPr>
        <w:t>Traitement :</w:t>
      </w:r>
    </w:p>
    <w:p>
      <w:pPr>
        <w:numPr>
          <w:ilvl w:val="1"/>
          <w:numId w:val="67"/>
        </w:numPr>
      </w:pPr>
      <w:r>
        <w:rPr>
          <w:color w:val="000000"/>
        </w:rPr>
        <w:t>Diététique et posture</w:t>
      </w:r>
    </w:p>
    <w:p>
      <w:pPr>
        <w:numPr>
          <w:ilvl w:val="2"/>
          <w:numId w:val="67"/>
        </w:numPr>
      </w:pPr>
      <w:r>
        <w:rPr>
          <w:color w:val="000000"/>
        </w:rPr>
        <w:t xml:space="preserve">Eviction des boissons alcoolisées, épices, sauces, condiments, glucides, fritures, café, </w:t>
      </w:r>
      <w:r>
        <w:rPr>
          <w:color w:val="000000"/>
        </w:rPr>
        <w:t>thé, ..</w:t>
      </w:r>
    </w:p>
    <w:p>
      <w:pPr>
        <w:numPr>
          <w:ilvl w:val="2"/>
          <w:numId w:val="67"/>
        </w:numPr>
      </w:pPr>
      <w:r>
        <w:rPr>
          <w:color w:val="000000"/>
        </w:rPr>
        <w:t>Eviter le décubitus post-prandial</w:t>
      </w:r>
    </w:p>
    <w:p>
      <w:pPr>
        <w:numPr>
          <w:ilvl w:val="1"/>
          <w:numId w:val="67"/>
        </w:numPr>
      </w:pPr>
      <w:r>
        <w:rPr>
          <w:color w:val="000000"/>
        </w:rPr>
        <w:t>Traitement symptomatique</w:t>
      </w:r>
    </w:p>
    <w:p>
      <w:pPr>
        <w:numPr>
          <w:ilvl w:val="2"/>
          <w:numId w:val="67"/>
        </w:numPr>
      </w:pPr>
      <w:r>
        <w:rPr>
          <w:color w:val="000000"/>
        </w:rPr>
        <w:t>Antiacides (hydroxyde d’alumine, alginates, ...)</w:t>
      </w:r>
    </w:p>
    <w:p>
      <w:pPr>
        <w:numPr>
          <w:ilvl w:val="2"/>
          <w:numId w:val="67"/>
        </w:numPr>
      </w:pPr>
      <w:r>
        <w:rPr>
          <w:color w:val="000000"/>
        </w:rPr>
        <w:t>Après le repas</w:t>
      </w:r>
    </w:p>
    <w:p>
      <w:pPr>
        <w:numPr>
          <w:ilvl w:val="2"/>
          <w:numId w:val="67"/>
        </w:numPr>
      </w:pPr>
      <w:r>
        <w:rPr>
          <w:color w:val="000000"/>
        </w:rPr>
        <w:t>IPP ou anti-H2 (formes rebelles)</w:t>
      </w:r>
    </w:p>
    <w:p>
      <w:pPr/>
    </w:p>
    <w:p>
      <w:pPr>
        <w:pStyle w:val="Heading2"/>
      </w:pPr>
      <w:r>
        <w:rPr/>
        <w:t>CRAMPES</w:t>
      </w:r>
    </w:p>
    <w:p>
      <w:pPr>
        <w:numPr>
          <w:ilvl w:val="0"/>
          <w:numId w:val="68"/>
        </w:numPr>
      </w:pPr>
      <w:r>
        <w:rPr>
          <w:color w:val="000000"/>
        </w:rPr>
        <w:t>= Contractions spasmodiques douloureuses siégeant surtout au niveau des membres inférieurs</w:t>
      </w:r>
    </w:p>
    <w:p>
      <w:pPr>
        <w:numPr>
          <w:ilvl w:val="1"/>
          <w:numId w:val="68"/>
        </w:numPr>
      </w:pPr>
      <w:r>
        <w:rPr>
          <w:color w:val="000000"/>
        </w:rPr>
        <w:t>15 - 30 % des femmes enceintes</w:t>
      </w:r>
    </w:p>
    <w:p>
      <w:pPr>
        <w:numPr>
          <w:ilvl w:val="1"/>
          <w:numId w:val="68"/>
        </w:numPr>
      </w:pPr>
      <w:r>
        <w:rPr>
          <w:color w:val="000000"/>
        </w:rPr>
        <w:t>Nuit</w:t>
      </w:r>
    </w:p>
    <w:p>
      <w:pPr>
        <w:numPr>
          <w:ilvl w:val="1"/>
          <w:numId w:val="68"/>
        </w:numPr>
      </w:pPr>
      <w:r>
        <w:rPr>
          <w:color w:val="000000"/>
        </w:rPr>
        <w:t>3</w:t>
      </w:r>
      <w:r>
        <w:rPr>
          <w:color w:val="000000"/>
        </w:rPr>
        <w:t xml:space="preserve">ème </w:t>
      </w:r>
      <w:r>
        <w:rPr>
          <w:color w:val="000000"/>
        </w:rPr>
        <w:t>trimestre +++</w:t>
      </w:r>
    </w:p>
    <w:p>
      <w:pPr>
        <w:numPr>
          <w:ilvl w:val="1"/>
          <w:numId w:val="68"/>
        </w:numPr>
      </w:pPr>
      <w:r>
        <w:rPr>
          <w:color w:val="000000"/>
        </w:rPr>
        <w:t>Physiopathologie inconnue</w:t>
      </w:r>
      <w:r>
        <w:rPr>
          <w:color w:val="000000"/>
        </w:rPr>
        <w:br/>
      </w:r>
    </w:p>
    <w:p>
      <w:pPr>
        <w:numPr>
          <w:ilvl w:val="0"/>
          <w:numId w:val="68"/>
        </w:numPr>
      </w:pPr>
      <w:r>
        <w:rPr>
          <w:color w:val="000000"/>
        </w:rPr>
        <w:t>Traitement :</w:t>
      </w:r>
    </w:p>
    <w:p>
      <w:pPr>
        <w:numPr>
          <w:ilvl w:val="1"/>
          <w:numId w:val="68"/>
        </w:numPr>
      </w:pPr>
      <w:r>
        <w:rPr>
          <w:color w:val="000000"/>
        </w:rPr>
        <w:t>Riboflavine ou l’acide pantothénique associé à une supplémentation en magnésium (400 mg/j 2 à 4 semaines)</w:t>
      </w:r>
    </w:p>
    <w:p>
      <w:pPr>
        <w:pStyle w:val="Heading2"/>
      </w:pPr>
      <w:r>
        <w:rPr/>
        <w:t>LOMBALGIE</w:t>
      </w:r>
    </w:p>
    <w:p>
      <w:pPr>
        <w:numPr>
          <w:ilvl w:val="0"/>
          <w:numId w:val="69"/>
        </w:numPr>
      </w:pPr>
      <w:r>
        <w:rPr>
          <w:color w:val="000000"/>
        </w:rPr>
        <w:t>Causé par l’hyperlordose</w:t>
      </w:r>
    </w:p>
    <w:p>
      <w:pPr>
        <w:numPr>
          <w:ilvl w:val="0"/>
          <w:numId w:val="69"/>
        </w:numPr>
      </w:pPr>
      <w:r>
        <w:rPr>
          <w:color w:val="000000"/>
        </w:rPr>
        <w:t>Contracture des muscles lombaires</w:t>
      </w:r>
    </w:p>
    <w:p>
      <w:pPr>
        <w:numPr>
          <w:ilvl w:val="0"/>
          <w:numId w:val="69"/>
        </w:numPr>
      </w:pPr>
      <w:r>
        <w:rPr>
          <w:color w:val="000000"/>
        </w:rPr>
        <w:t>Traitement :</w:t>
      </w:r>
    </w:p>
    <w:p>
      <w:pPr>
        <w:numPr>
          <w:ilvl w:val="1"/>
          <w:numId w:val="69"/>
        </w:numPr>
      </w:pPr>
      <w:r>
        <w:rPr>
          <w:color w:val="000000"/>
        </w:rPr>
        <w:t>Posture</w:t>
      </w:r>
    </w:p>
    <w:p>
      <w:pPr>
        <w:numPr>
          <w:ilvl w:val="1"/>
          <w:numId w:val="69"/>
        </w:numPr>
      </w:pPr>
      <w:r>
        <w:rPr>
          <w:color w:val="000000"/>
        </w:rPr>
        <w:t>Gymnastique</w:t>
      </w:r>
    </w:p>
    <w:p>
      <w:pPr>
        <w:numPr>
          <w:ilvl w:val="0"/>
          <w:numId w:val="69"/>
        </w:numPr>
      </w:pPr>
      <w:r>
        <w:rPr>
          <w:color w:val="000000"/>
        </w:rPr>
        <w:t>Formes majeures :</w:t>
      </w:r>
    </w:p>
    <w:p>
      <w:pPr>
        <w:numPr>
          <w:ilvl w:val="1"/>
          <w:numId w:val="69"/>
        </w:numPr>
      </w:pPr>
      <w:r>
        <w:rPr>
          <w:color w:val="000000"/>
        </w:rPr>
        <w:t>Tétrazepam</w:t>
      </w:r>
      <w:r>
        <w:rPr>
          <w:color w:val="000000"/>
        </w:rPr>
        <w:t>, antalgiques inutiles</w:t>
      </w:r>
    </w:p>
    <w:p>
      <w:pPr>
        <w:numPr>
          <w:ilvl w:val="1"/>
          <w:numId w:val="69"/>
        </w:numPr>
      </w:pPr>
      <w:r>
        <w:rPr>
          <w:color w:val="000000"/>
        </w:rPr>
        <w:t xml:space="preserve">Uridine (UTEPLEX) 3 </w:t>
      </w:r>
      <w:r>
        <w:rPr>
          <w:color w:val="000000"/>
        </w:rPr>
        <w:t>amp</w:t>
      </w:r>
      <w:r>
        <w:rPr>
          <w:color w:val="000000"/>
        </w:rPr>
        <w:t>/j en cure de 2 - 3 semaines (+++)</w:t>
      </w:r>
    </w:p>
    <w:p>
      <w:pPr>
        <w:numPr>
          <w:ilvl w:val="1"/>
          <w:numId w:val="69"/>
        </w:numPr>
      </w:pPr>
      <w:r>
        <w:rPr>
          <w:color w:val="000000"/>
        </w:rPr>
        <w:t>Massage</w:t>
      </w:r>
    </w:p>
    <w:p>
      <w:pPr>
        <w:pStyle w:val="Heading2"/>
      </w:pPr>
      <w:r>
        <w:rPr/>
        <w:t>RELACHEMENT DOULOUREUX DES SYMPHYSES</w:t>
      </w:r>
    </w:p>
    <w:p>
      <w:pPr>
        <w:numPr>
          <w:ilvl w:val="0"/>
          <w:numId w:val="70"/>
        </w:numPr>
      </w:pPr>
      <w:r>
        <w:rPr>
          <w:color w:val="000000"/>
        </w:rPr>
        <w:t>= douleur symphysaire basse, médiane, irradiant parfois dans la racine des cuisses, vers le bas, souvent bilatérale</w:t>
      </w:r>
    </w:p>
    <w:p>
      <w:pPr>
        <w:numPr>
          <w:ilvl w:val="0"/>
          <w:numId w:val="70"/>
        </w:numPr>
      </w:pPr>
      <w:r>
        <w:rPr>
          <w:color w:val="000000"/>
        </w:rPr>
        <w:t>Calmée au repos</w:t>
      </w:r>
    </w:p>
    <w:p>
      <w:pPr>
        <w:numPr>
          <w:ilvl w:val="1"/>
          <w:numId w:val="70"/>
        </w:numPr>
      </w:pPr>
      <w:r>
        <w:rPr>
          <w:color w:val="000000"/>
        </w:rPr>
        <w:t>Entraînant une impotence fonctionnelle relative</w:t>
      </w:r>
    </w:p>
    <w:p>
      <w:pPr>
        <w:numPr>
          <w:ilvl w:val="0"/>
          <w:numId w:val="70"/>
        </w:numPr>
      </w:pPr>
      <w:r>
        <w:rPr>
          <w:color w:val="000000"/>
        </w:rPr>
        <w:t>Traitement médicamenteux :</w:t>
      </w:r>
    </w:p>
    <w:p>
      <w:pPr>
        <w:numPr>
          <w:ilvl w:val="1"/>
          <w:numId w:val="70"/>
        </w:numPr>
      </w:pPr>
      <w:r>
        <w:rPr>
          <w:color w:val="000000"/>
        </w:rPr>
        <w:t>Ca</w:t>
      </w:r>
      <w:r>
        <w:rPr>
          <w:color w:val="000000"/>
        </w:rPr>
        <w:t>++</w:t>
      </w:r>
      <w:r>
        <w:rPr>
          <w:color w:val="000000"/>
        </w:rPr>
        <w:t xml:space="preserve"> + Vit D3 = décevant</w:t>
      </w:r>
    </w:p>
    <w:p>
      <w:pPr>
        <w:numPr>
          <w:ilvl w:val="1"/>
          <w:numId w:val="70"/>
        </w:numPr>
      </w:pPr>
      <w:r>
        <w:rPr>
          <w:b/>
          <w:color w:val="000000"/>
        </w:rPr>
        <w:t>Repos</w:t>
      </w:r>
      <w:r>
        <w:rPr>
          <w:color w:val="000000"/>
        </w:rPr>
        <w:t xml:space="preserve"> + </w:t>
      </w:r>
      <w:r>
        <w:rPr>
          <w:b/>
          <w:color w:val="000000"/>
        </w:rPr>
        <w:t xml:space="preserve">Antalgique </w:t>
      </w:r>
      <w:r>
        <w:rPr/>
      </w:r>
      <w:r>
        <w:rPr>
          <w:color w:val="000000"/>
        </w:rPr>
        <w:t>(+++)</w:t>
      </w:r>
    </w:p>
    <w:p>
      <w:pPr>
        <w:numPr>
          <w:ilvl w:val="1"/>
          <w:numId w:val="70"/>
        </w:numPr>
      </w:pPr>
      <w:r>
        <w:rPr>
          <w:color w:val="000000"/>
        </w:rPr>
        <w:t>AINS</w:t>
      </w:r>
      <w:r>
        <w:rPr/>
      </w:r>
      <w:r>
        <w:rPr>
          <w:color w:val="000000"/>
        </w:rPr>
        <w:t xml:space="preserve"> de courte durée (&lt; 5j)</w:t>
      </w:r>
      <w:r>
        <w:rPr>
          <w:color w:val="000000"/>
        </w:rPr>
        <w:br/>
      </w:r>
    </w:p>
    <w:p>
      <w:pPr>
        <w:numPr>
          <w:ilvl w:val="0"/>
          <w:numId w:val="70"/>
        </w:numPr>
      </w:pPr>
      <w:r>
        <w:rPr>
          <w:color w:val="000000"/>
        </w:rPr>
        <w:t>Guérison spontanée 2 jours après accouchement</w:t>
      </w:r>
    </w:p>
    <w:p>
      <w:pPr/>
    </w:p>
    <w:p>
      <w:pPr>
        <w:pStyle w:val="Heading2"/>
      </w:pPr>
      <w:r>
        <w:rPr/>
        <w:t>PATHOLOGIE BENIGNE ORL</w:t>
      </w:r>
    </w:p>
    <w:p>
      <w:pPr>
        <w:numPr>
          <w:ilvl w:val="0"/>
          <w:numId w:val="71"/>
        </w:numPr>
      </w:pPr>
      <w:r>
        <w:rPr>
          <w:color w:val="000000"/>
        </w:rPr>
        <w:t>Turgescence de la muqueuse -&gt; obstruction nasale -&gt; rhinite</w:t>
      </w:r>
      <w:r>
        <w:rPr>
          <w:color w:val="000000"/>
        </w:rPr>
        <w:br/>
      </w:r>
    </w:p>
    <w:p>
      <w:pPr>
        <w:numPr>
          <w:ilvl w:val="0"/>
          <w:numId w:val="71"/>
        </w:numPr>
      </w:pPr>
      <w:r>
        <w:rPr>
          <w:color w:val="000000"/>
        </w:rPr>
        <w:t>A la deuxième moitié de la grossesse, à cause de la progestérone</w:t>
      </w:r>
    </w:p>
    <w:p>
      <w:pPr>
        <w:numPr>
          <w:ilvl w:val="0"/>
          <w:numId w:val="71"/>
        </w:numPr>
      </w:pPr>
      <w:r>
        <w:rPr>
          <w:color w:val="000000"/>
        </w:rPr>
        <w:t>Accentuation des phénomènes allergiques</w:t>
      </w:r>
      <w:r>
        <w:rPr>
          <w:color w:val="000000"/>
        </w:rPr>
        <w:br/>
      </w:r>
    </w:p>
    <w:p>
      <w:pPr>
        <w:numPr>
          <w:ilvl w:val="0"/>
          <w:numId w:val="71"/>
        </w:numPr>
      </w:pPr>
      <w:r>
        <w:rPr>
          <w:color w:val="000000"/>
        </w:rPr>
        <w:t>Traitements :</w:t>
      </w:r>
    </w:p>
    <w:p>
      <w:pPr>
        <w:numPr>
          <w:ilvl w:val="1"/>
          <w:numId w:val="71"/>
        </w:numPr>
      </w:pPr>
      <w:r>
        <w:rPr>
          <w:color w:val="000000"/>
        </w:rPr>
        <w:t>Corticoïdes</w:t>
      </w:r>
    </w:p>
    <w:p>
      <w:pPr>
        <w:numPr>
          <w:ilvl w:val="1"/>
          <w:numId w:val="71"/>
        </w:numPr>
      </w:pPr>
      <w:r>
        <w:rPr>
          <w:color w:val="000000"/>
        </w:rPr>
        <w:t>Vasoconstricteurs à éviter autant que possible</w:t>
      </w:r>
    </w:p>
    <w:p>
      <w:pPr>
        <w:numPr>
          <w:ilvl w:val="1"/>
          <w:numId w:val="71"/>
        </w:numPr>
      </w:pPr>
      <w:r>
        <w:rPr>
          <w:i/>
          <w:color w:val="000000"/>
        </w:rPr>
        <w:t>Otrivine</w:t>
      </w:r>
      <w:r>
        <w:rPr>
          <w:i/>
          <w:color w:val="000000"/>
        </w:rPr>
        <w:t xml:space="preserve"> Goutte nasal 2-3 jours</w:t>
      </w:r>
      <w:r>
        <w:rPr>
          <w:i/>
          <w:color w:val="000000"/>
        </w:rPr>
        <w:br/>
      </w:r>
    </w:p>
    <w:p>
      <w:pPr>
        <w:numPr>
          <w:ilvl w:val="0"/>
          <w:numId w:val="71"/>
        </w:numPr>
      </w:pPr>
      <w:r>
        <w:rPr>
          <w:color w:val="000000"/>
        </w:rPr>
        <w:t>Dernier trimestre : béance de la trompe d’Eustache</w:t>
      </w:r>
    </w:p>
    <w:p>
      <w:pPr>
        <w:numPr>
          <w:ilvl w:val="1"/>
          <w:numId w:val="71"/>
        </w:numPr>
      </w:pPr>
      <w:r>
        <w:rPr>
          <w:color w:val="000000"/>
        </w:rPr>
        <w:t>Autophonie</w:t>
      </w:r>
    </w:p>
    <w:p>
      <w:pPr>
        <w:numPr>
          <w:ilvl w:val="1"/>
          <w:numId w:val="71"/>
        </w:numPr>
      </w:pPr>
      <w:r>
        <w:rPr>
          <w:color w:val="000000"/>
        </w:rPr>
        <w:t>Acouphènes</w:t>
      </w:r>
      <w:r>
        <w:rPr>
          <w:color w:val="000000"/>
        </w:rPr>
        <w:br/>
      </w:r>
    </w:p>
    <w:p>
      <w:pPr>
        <w:numPr>
          <w:ilvl w:val="1"/>
          <w:numId w:val="71"/>
        </w:numPr>
      </w:pPr>
      <w:r>
        <w:rPr>
          <w:color w:val="000000"/>
        </w:rPr>
        <w:t>Disparition spontanée après l’accouchement</w:t>
      </w:r>
    </w:p>
    <w:p>
      <w:pPr>
        <w:numPr>
          <w:ilvl w:val="1"/>
          <w:numId w:val="71"/>
        </w:numPr>
      </w:pPr>
      <w:r>
        <w:rPr>
          <w:color w:val="000000"/>
        </w:rPr>
        <w:t>Ne nécessite pas une PEC spécifique</w:t>
      </w:r>
      <w:r>
        <w:rPr>
          <w:color w:val="000000"/>
        </w:rPr>
        <w:br/>
      </w:r>
    </w:p>
    <w:p>
      <w:pPr>
        <w:numPr>
          <w:ilvl w:val="0"/>
          <w:numId w:val="71"/>
        </w:numPr>
      </w:pPr>
      <w:r>
        <w:rPr>
          <w:b/>
          <w:color w:val="000000"/>
        </w:rPr>
        <w:t>Troubles vocaux (</w:t>
      </w:r>
      <w:r>
        <w:rPr>
          <w:color w:val="000000"/>
        </w:rPr>
        <w:t>à cause de l’hyperhémie de la muqueuse laryngée)</w:t>
      </w:r>
    </w:p>
    <w:p>
      <w:pPr>
        <w:numPr>
          <w:ilvl w:val="1"/>
          <w:numId w:val="71"/>
        </w:numPr>
      </w:pPr>
      <w:r>
        <w:rPr>
          <w:color w:val="000000"/>
        </w:rPr>
        <w:t>Vers le 7ème mois</w:t>
      </w:r>
    </w:p>
    <w:p>
      <w:pPr>
        <w:numPr>
          <w:ilvl w:val="1"/>
          <w:numId w:val="71"/>
        </w:numPr>
      </w:pPr>
      <w:r>
        <w:rPr>
          <w:color w:val="000000"/>
        </w:rPr>
        <w:t>Altération du timbre, raucité de la voix</w:t>
      </w:r>
      <w:r>
        <w:rPr>
          <w:color w:val="000000"/>
        </w:rPr>
        <w:br/>
      </w:r>
    </w:p>
    <w:p>
      <w:pPr>
        <w:numPr>
          <w:ilvl w:val="1"/>
          <w:numId w:val="71"/>
        </w:numPr>
      </w:pPr>
      <w:r>
        <w:rPr>
          <w:color w:val="000000"/>
        </w:rPr>
        <w:t>Traitement : repos vocal relatif</w:t>
      </w:r>
      <w:r>
        <w:rPr>
          <w:color w:val="000000"/>
        </w:rPr>
        <w:br/>
      </w:r>
      <w:r>
        <w:rPr>
          <w:color w:val="000000"/>
        </w:rPr>
        <w:br/>
      </w:r>
    </w:p>
    <w:p>
      <w:pPr>
        <w:numPr>
          <w:ilvl w:val="0"/>
          <w:numId w:val="71"/>
        </w:numPr>
      </w:pPr>
      <w:r>
        <w:rPr>
          <w:b/>
          <w:color w:val="000000"/>
        </w:rPr>
        <w:t xml:space="preserve">Gingivite </w:t>
      </w:r>
      <w:r>
        <w:rPr>
          <w:color w:val="000000"/>
        </w:rPr>
        <w:t>(au 5ème mois)</w:t>
      </w:r>
    </w:p>
    <w:p>
      <w:pPr>
        <w:numPr>
          <w:ilvl w:val="1"/>
          <w:numId w:val="71"/>
        </w:numPr>
      </w:pPr>
      <w:r>
        <w:rPr>
          <w:color w:val="000000"/>
        </w:rPr>
        <w:t xml:space="preserve">Muqueuse buccale hyperhémiée et </w:t>
      </w:r>
      <w:r>
        <w:rPr>
          <w:color w:val="000000"/>
        </w:rPr>
        <w:t>œdématiée</w:t>
      </w:r>
    </w:p>
    <w:p>
      <w:pPr>
        <w:numPr>
          <w:ilvl w:val="1"/>
          <w:numId w:val="71"/>
        </w:numPr>
      </w:pPr>
      <w:r>
        <w:rPr>
          <w:color w:val="000000"/>
        </w:rPr>
        <w:t xml:space="preserve">Languettes </w:t>
      </w:r>
      <w:r>
        <w:rPr>
          <w:color w:val="000000"/>
        </w:rPr>
        <w:t>rouges vifs</w:t>
      </w:r>
      <w:r>
        <w:rPr>
          <w:color w:val="000000"/>
        </w:rPr>
        <w:t xml:space="preserve"> saignant au contact</w:t>
      </w:r>
      <w:r>
        <w:rPr>
          <w:color w:val="000000"/>
        </w:rPr>
        <w:br/>
      </w:r>
    </w:p>
    <w:p>
      <w:pPr>
        <w:numPr>
          <w:ilvl w:val="1"/>
          <w:numId w:val="71"/>
        </w:numPr>
      </w:pPr>
      <w:r>
        <w:rPr>
          <w:color w:val="000000"/>
        </w:rPr>
        <w:t>Traitement : hygiène bucco-dentaire</w:t>
      </w:r>
    </w:p>
    <w:p>
      <w:pPr/>
    </w:p>
    <w:p>
      <w:pPr>
        <w:pStyle w:val="Heading2"/>
      </w:pPr>
      <w:r>
        <w:rPr/>
        <w:t>MODIFICATIONS CUTANEES ET DES PHANERES</w:t>
      </w:r>
    </w:p>
    <w:p>
      <w:pPr>
        <w:numPr>
          <w:ilvl w:val="0"/>
          <w:numId w:val="72"/>
        </w:numPr>
      </w:pPr>
      <w:r>
        <w:rPr>
          <w:color w:val="000000"/>
        </w:rPr>
        <w:t>Bénignes, disparaissant après la grossesse</w:t>
      </w:r>
    </w:p>
    <w:p>
      <w:pPr>
        <w:numPr>
          <w:ilvl w:val="1"/>
          <w:numId w:val="72"/>
        </w:numPr>
      </w:pPr>
      <w:r>
        <w:rPr>
          <w:color w:val="000000"/>
        </w:rPr>
        <w:t>Augmentation de la pigmentation cutanée</w:t>
      </w:r>
    </w:p>
    <w:p>
      <w:pPr>
        <w:numPr>
          <w:ilvl w:val="1"/>
          <w:numId w:val="72"/>
        </w:numPr>
      </w:pPr>
      <w:r>
        <w:rPr>
          <w:color w:val="000000"/>
        </w:rPr>
        <w:t xml:space="preserve">Hypersensibilité au soleil du visage voire </w:t>
      </w:r>
      <w:r>
        <w:rPr>
          <w:color w:val="000000"/>
        </w:rPr>
        <w:t>Mélasma</w:t>
      </w:r>
      <w:r>
        <w:rPr>
          <w:color w:val="000000"/>
        </w:rPr>
        <w:br/>
      </w:r>
    </w:p>
    <w:p>
      <w:pPr>
        <w:pStyle w:val="Heading3"/>
      </w:pPr>
      <w:r>
        <w:rPr/>
        <w:t>Vergetures :</w:t>
      </w:r>
    </w:p>
    <w:p>
      <w:pPr>
        <w:numPr>
          <w:ilvl w:val="0"/>
          <w:numId w:val="73"/>
        </w:numPr>
      </w:pPr>
      <w:r>
        <w:rPr>
          <w:color w:val="000000"/>
        </w:rPr>
        <w:t>90 % des femmes</w:t>
      </w:r>
    </w:p>
    <w:p>
      <w:pPr>
        <w:numPr>
          <w:ilvl w:val="0"/>
          <w:numId w:val="73"/>
        </w:numPr>
      </w:pPr>
      <w:r>
        <w:rPr>
          <w:color w:val="000000"/>
        </w:rPr>
        <w:t>Fracture des réseaux de fibres de collagènes</w:t>
      </w:r>
    </w:p>
    <w:p>
      <w:pPr>
        <w:numPr>
          <w:ilvl w:val="0"/>
          <w:numId w:val="73"/>
        </w:numPr>
      </w:pPr>
      <w:r>
        <w:rPr>
          <w:color w:val="000000"/>
        </w:rPr>
        <w:t>Oestrogène</w:t>
      </w:r>
      <w:r>
        <w:rPr>
          <w:color w:val="000000"/>
        </w:rPr>
        <w:t xml:space="preserve"> -&gt; stimulation des kératinocytes, diminution de sécrétion de sébum, vasodilatation cutanée : augmentation de la perméabilité capillaire et néoformation vasculaire</w:t>
      </w:r>
    </w:p>
    <w:p>
      <w:pPr>
        <w:numPr>
          <w:ilvl w:val="0"/>
          <w:numId w:val="73"/>
        </w:numPr>
      </w:pPr>
      <w:r>
        <w:rPr>
          <w:color w:val="000000"/>
        </w:rPr>
        <w:t xml:space="preserve">Progestérone : </w:t>
      </w:r>
      <w:r>
        <w:rPr>
          <w:color w:val="000000"/>
        </w:rPr>
        <w:t>Pigmentogène</w:t>
      </w:r>
      <w:r>
        <w:rPr>
          <w:color w:val="000000"/>
        </w:rPr>
        <w:t xml:space="preserve"> et </w:t>
      </w:r>
      <w:r>
        <w:rPr>
          <w:color w:val="000000"/>
        </w:rPr>
        <w:t>anti androgène</w:t>
      </w:r>
      <w:r>
        <w:rPr>
          <w:color w:val="000000"/>
        </w:rPr>
        <w:br/>
      </w:r>
    </w:p>
    <w:p>
      <w:pPr>
        <w:numPr>
          <w:ilvl w:val="0"/>
          <w:numId w:val="73"/>
        </w:numPr>
      </w:pPr>
      <w:r>
        <w:rPr>
          <w:color w:val="000000"/>
        </w:rPr>
        <w:t>Traitements :</w:t>
      </w:r>
    </w:p>
    <w:p>
      <w:pPr>
        <w:numPr>
          <w:ilvl w:val="1"/>
          <w:numId w:val="73"/>
        </w:numPr>
      </w:pPr>
      <w:r>
        <w:rPr>
          <w:color w:val="000000"/>
        </w:rPr>
        <w:t>Topique : lotion à base d’acide glycolique + acide ascorbique</w:t>
      </w:r>
    </w:p>
    <w:p>
      <w:pPr>
        <w:numPr>
          <w:ilvl w:val="1"/>
          <w:numId w:val="73"/>
        </w:numPr>
      </w:pPr>
      <w:r>
        <w:rPr>
          <w:color w:val="000000"/>
        </w:rPr>
        <w:t>Peu efficaces</w:t>
      </w:r>
      <w:r>
        <w:rPr>
          <w:color w:val="000000"/>
        </w:rPr>
        <w:br/>
      </w:r>
    </w:p>
    <w:p>
      <w:pPr>
        <w:numPr>
          <w:ilvl w:val="1"/>
          <w:numId w:val="73"/>
        </w:numPr>
      </w:pPr>
      <w:r>
        <w:rPr>
          <w:color w:val="000000"/>
        </w:rPr>
        <w:t>-&gt; bonne hygiène de la peau (+++)</w:t>
      </w:r>
    </w:p>
    <w:p>
      <w:pPr/>
    </w:p>
    <w:p>
      <w:pPr>
        <w:pStyle w:val="Heading3"/>
      </w:pPr>
      <w:r>
        <w:rPr/>
        <w:t>MODIFICATION DE LA CHEVELURE</w:t>
      </w:r>
      <w:r>
        <w:rPr/>
        <w:t xml:space="preserve"> </w:t>
      </w:r>
    </w:p>
    <w:p>
      <w:pPr/>
      <w:r>
        <w:rPr>
          <w:color w:val="000000"/>
        </w:rPr>
        <w:t>Liée aux modifications du cycle pilaire</w:t>
      </w:r>
    </w:p>
    <w:p>
      <w:pPr/>
    </w:p>
    <w:p>
      <w:pPr>
        <w:pStyle w:val="Heading2"/>
      </w:pPr>
      <w:r>
        <w:rPr/>
        <w:t>CONCLUSION</w:t>
      </w:r>
    </w:p>
    <w:p>
      <w:pPr>
        <w:numPr>
          <w:ilvl w:val="0"/>
          <w:numId w:val="74"/>
        </w:numPr>
      </w:pPr>
      <w:r>
        <w:rPr>
          <w:color w:val="000000"/>
        </w:rPr>
        <w:t xml:space="preserve">Les petits maux créent un très réel inconfort </w:t>
      </w:r>
    </w:p>
    <w:p>
      <w:pPr>
        <w:numPr>
          <w:ilvl w:val="0"/>
          <w:numId w:val="74"/>
        </w:numPr>
      </w:pPr>
      <w:r>
        <w:rPr>
          <w:color w:val="000000"/>
        </w:rPr>
        <w:t>Créer un bon équilibre psychologique, associé à une alimentation équilibrée pendant la grossesse, est le meilleur moyen de remédier partiellement à ces petits maux</w:t>
      </w:r>
    </w:p>
    <w:p>
      <w:pPr>
        <w:numPr>
          <w:ilvl w:val="0"/>
          <w:numId w:val="74"/>
        </w:numPr>
      </w:pPr>
      <w:r>
        <w:rPr>
          <w:color w:val="000000"/>
        </w:rPr>
        <w:t xml:space="preserve">La plupart des traitements sont très empiriques, fondés sur l’expérience des accoucheurs </w:t>
      </w:r>
    </w:p>
    <w:p>
      <w:pPr/>
    </w:p>
    <w:p>
      <w:pPr/>
      <w:r>
        <w:rPr>
          <w:color w:val="00000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